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367F" w14:textId="6949695A" w:rsidR="00166F06" w:rsidRPr="00CC50C7" w:rsidRDefault="00166F06" w:rsidP="00166F06">
      <w:pPr>
        <w:rPr>
          <w:rStyle w:val="Enfasigrassetto"/>
          <w:rFonts w:ascii="Arial" w:eastAsiaTheme="minorHAnsi" w:hAnsi="Arial" w:cs="Arial"/>
          <w:color w:val="143F6A"/>
          <w:sz w:val="36"/>
          <w:szCs w:val="36"/>
        </w:rPr>
      </w:pPr>
      <w:r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FILIERA LEGNO-ARREDO</w:t>
      </w:r>
      <w:r w:rsidRPr="00CC50C7">
        <w:rPr>
          <w:rFonts w:ascii="Arial" w:eastAsiaTheme="minorHAnsi" w:hAnsi="Arial" w:cs="Arial"/>
          <w:b/>
          <w:bCs/>
          <w:color w:val="143F6A"/>
        </w:rPr>
        <w:br/>
      </w:r>
      <w:r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 xml:space="preserve">L’export delle regioni italiane nel </w:t>
      </w:r>
      <w:proofErr w:type="gramStart"/>
      <w:r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1°</w:t>
      </w:r>
      <w:proofErr w:type="gramEnd"/>
      <w:r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 xml:space="preserve"> semestre 202</w:t>
      </w:r>
      <w:r w:rsidR="002439E3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5</w:t>
      </w:r>
    </w:p>
    <w:p w14:paraId="5A40B838" w14:textId="77777777" w:rsidR="009F7216" w:rsidRPr="00CC50C7" w:rsidRDefault="009F7216" w:rsidP="00B94A77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</w:p>
    <w:p w14:paraId="605C5D38" w14:textId="79CB1BA1" w:rsidR="00560B66" w:rsidRPr="00CC50C7" w:rsidRDefault="00166F06" w:rsidP="00B94A77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Nei primi sei mesi del 202</w:t>
      </w:r>
      <w:r w:rsidR="002439E3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le </w:t>
      </w:r>
      <w:r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 xml:space="preserve">esportazioni </w:t>
      </w:r>
      <w:r w:rsidR="005C3F31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della Filiera Legno-Arredo</w:t>
      </w:r>
      <w:r w:rsidR="005C3F3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5C3F31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 xml:space="preserve">a livello </w:t>
      </w:r>
      <w:r w:rsidR="005B18FA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territorial</w:t>
      </w:r>
      <w:r w:rsidR="005C3F31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e</w:t>
      </w:r>
      <w:r w:rsidR="005B18FA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mostrano </w:t>
      </w:r>
      <w:r w:rsidR="002439E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dinamiche </w:t>
      </w:r>
      <w:r w:rsidR="005B18FA" w:rsidRPr="00CC50C7">
        <w:rPr>
          <w:rFonts w:ascii="Arial" w:eastAsiaTheme="minorHAnsi" w:hAnsi="Arial" w:cs="Arial"/>
          <w:color w:val="555555"/>
          <w:sz w:val="21"/>
          <w:szCs w:val="21"/>
        </w:rPr>
        <w:t>differenti tra le vari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e regioni italiane</w:t>
      </w:r>
      <w:r w:rsidR="005B18FA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  <w:r w:rsidR="0008166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9F17F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Tra 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quelle</w:t>
      </w:r>
      <w:r w:rsidR="009F17F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più 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>rilevanti</w:t>
      </w:r>
      <w:r w:rsidR="009F17F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in valore, </w:t>
      </w:r>
      <w:r w:rsidR="0008166E" w:rsidRPr="00CC50C7">
        <w:rPr>
          <w:rFonts w:ascii="Arial" w:eastAsiaTheme="minorHAnsi" w:hAnsi="Arial" w:cs="Arial"/>
          <w:color w:val="555555"/>
          <w:sz w:val="21"/>
          <w:szCs w:val="21"/>
        </w:rPr>
        <w:t>Friuli</w:t>
      </w:r>
      <w:r w:rsidR="00826B92" w:rsidRPr="00CC50C7">
        <w:rPr>
          <w:rFonts w:ascii="Arial" w:eastAsiaTheme="minorHAnsi" w:hAnsi="Arial" w:cs="Arial"/>
          <w:color w:val="555555"/>
          <w:sz w:val="21"/>
          <w:szCs w:val="21"/>
        </w:rPr>
        <w:t>-</w:t>
      </w:r>
      <w:r w:rsidR="0008166E" w:rsidRPr="00CC50C7">
        <w:rPr>
          <w:rFonts w:ascii="Arial" w:eastAsiaTheme="minorHAnsi" w:hAnsi="Arial" w:cs="Arial"/>
          <w:color w:val="555555"/>
          <w:sz w:val="21"/>
          <w:szCs w:val="21"/>
        </w:rPr>
        <w:t>Venezia Giulia (+8,2%), Puglia (+17,1%) e Abruzzo (+18%) registrano gli incrementi più marcat</w:t>
      </w:r>
      <w:r w:rsidR="00826B92" w:rsidRPr="00CC50C7">
        <w:rPr>
          <w:rFonts w:ascii="Arial" w:eastAsiaTheme="minorHAnsi" w:hAnsi="Arial" w:cs="Arial"/>
          <w:color w:val="555555"/>
          <w:sz w:val="21"/>
          <w:szCs w:val="21"/>
        </w:rPr>
        <w:t>i</w:t>
      </w:r>
      <w:r w:rsidR="0008166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826B92" w:rsidRPr="00CC50C7">
        <w:rPr>
          <w:rFonts w:ascii="Arial" w:eastAsiaTheme="minorHAnsi" w:hAnsi="Arial" w:cs="Arial"/>
          <w:color w:val="555555"/>
          <w:sz w:val="21"/>
          <w:szCs w:val="21"/>
        </w:rPr>
        <w:t>rispetto allo stesso periodo 2024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826B9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08166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mentre le flessioni più 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>significative</w:t>
      </w:r>
      <w:r w:rsidR="0008166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riguardano </w:t>
      </w:r>
      <w:r w:rsidR="00826B92" w:rsidRPr="00CC50C7">
        <w:rPr>
          <w:rFonts w:ascii="Arial" w:eastAsiaTheme="minorHAnsi" w:hAnsi="Arial" w:cs="Arial"/>
          <w:color w:val="555555"/>
          <w:sz w:val="21"/>
          <w:szCs w:val="21"/>
        </w:rPr>
        <w:t>Lombardia (-5,1%), Veneto (-4,2%) e Toscana (-8,7%).</w:t>
      </w:r>
      <w:r w:rsidR="0008166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</w:p>
    <w:p w14:paraId="1939F21C" w14:textId="64F83463" w:rsidR="00B971A8" w:rsidRPr="00CC50C7" w:rsidRDefault="005C3F31" w:rsidP="00B94A77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L</w:t>
      </w:r>
      <w:r w:rsidR="005B18FA" w:rsidRPr="00CC50C7">
        <w:rPr>
          <w:rFonts w:ascii="Arial" w:eastAsiaTheme="minorHAnsi" w:hAnsi="Arial" w:cs="Arial"/>
          <w:color w:val="555555"/>
          <w:sz w:val="21"/>
          <w:szCs w:val="21"/>
        </w:rPr>
        <w:t>a Lombardia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con </w:t>
      </w:r>
      <w:r w:rsidR="00826B92" w:rsidRPr="00CC50C7">
        <w:rPr>
          <w:rFonts w:ascii="Arial" w:eastAsiaTheme="minorHAnsi" w:hAnsi="Arial" w:cs="Arial"/>
          <w:color w:val="555555"/>
          <w:sz w:val="21"/>
          <w:szCs w:val="21"/>
        </w:rPr>
        <w:t>una quota pari a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l </w:t>
      </w:r>
      <w:r w:rsidR="004D7B71" w:rsidRPr="00CC50C7">
        <w:rPr>
          <w:rFonts w:ascii="Arial" w:eastAsiaTheme="minorHAnsi" w:hAnsi="Arial" w:cs="Arial"/>
          <w:color w:val="555555"/>
          <w:sz w:val="21"/>
          <w:szCs w:val="21"/>
        </w:rPr>
        <w:t>2</w:t>
      </w:r>
      <w:r w:rsidR="0008166E" w:rsidRPr="00CC50C7">
        <w:rPr>
          <w:rFonts w:ascii="Arial" w:eastAsiaTheme="minorHAnsi" w:hAnsi="Arial" w:cs="Arial"/>
          <w:color w:val="555555"/>
          <w:sz w:val="21"/>
          <w:szCs w:val="21"/>
        </w:rPr>
        <w:t>8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% del totale, si conferma la prima regione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per valore</w:t>
      </w:r>
      <w:r w:rsidR="00826B9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proofErr w:type="gramStart"/>
      <w:r w:rsidR="00826B92" w:rsidRPr="00CC50C7">
        <w:rPr>
          <w:rFonts w:ascii="Arial" w:eastAsiaTheme="minorHAnsi" w:hAnsi="Arial" w:cs="Arial"/>
          <w:color w:val="555555"/>
          <w:sz w:val="21"/>
          <w:szCs w:val="21"/>
        </w:rPr>
        <w:t>esportato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segui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ta</w:t>
      </w:r>
      <w:proofErr w:type="gramEnd"/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da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Veneto</w:t>
      </w:r>
      <w:r w:rsidR="00EB1F8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(</w:t>
      </w:r>
      <w:r w:rsidR="00EB1F82" w:rsidRPr="00CC50C7">
        <w:rPr>
          <w:rFonts w:ascii="Arial" w:eastAsiaTheme="minorHAnsi" w:hAnsi="Arial" w:cs="Arial"/>
          <w:color w:val="555555"/>
          <w:sz w:val="21"/>
          <w:szCs w:val="21"/>
        </w:rPr>
        <w:t>23% del totale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="00DF102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e Friuli-Venezia Giulia </w:t>
      </w:r>
      <w:r w:rsidR="00560B66" w:rsidRPr="00CC50C7">
        <w:rPr>
          <w:rFonts w:ascii="Arial" w:eastAsiaTheme="minorHAnsi" w:hAnsi="Arial" w:cs="Arial"/>
          <w:color w:val="555555"/>
          <w:sz w:val="21"/>
          <w:szCs w:val="21"/>
        </w:rPr>
        <w:t>(</w:t>
      </w:r>
      <w:r w:rsidR="00EB1F82" w:rsidRPr="00CC50C7">
        <w:rPr>
          <w:rFonts w:ascii="Arial" w:eastAsiaTheme="minorHAnsi" w:hAnsi="Arial" w:cs="Arial"/>
          <w:color w:val="555555"/>
          <w:sz w:val="21"/>
          <w:szCs w:val="21"/>
        </w:rPr>
        <w:t>1</w:t>
      </w:r>
      <w:r w:rsidR="00826B92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EB1F82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826B92" w:rsidRPr="00CC50C7">
        <w:rPr>
          <w:rFonts w:ascii="Arial" w:eastAsiaTheme="minorHAnsi" w:hAnsi="Arial" w:cs="Arial"/>
          <w:color w:val="555555"/>
          <w:sz w:val="21"/>
          <w:szCs w:val="21"/>
        </w:rPr>
        <w:t>).</w:t>
      </w:r>
    </w:p>
    <w:p w14:paraId="0F738FBE" w14:textId="2EA44F82" w:rsidR="00C42CDB" w:rsidRPr="00B67CA7" w:rsidRDefault="00560B66" w:rsidP="00B94A77">
      <w:pPr>
        <w:pStyle w:val="NormaleWeb"/>
        <w:spacing w:before="0" w:beforeAutospacing="0" w:after="0" w:afterAutospacing="0" w:line="255" w:lineRule="atLeast"/>
        <w:jc w:val="both"/>
        <w:rPr>
          <w:rFonts w:ascii="Arial" w:hAnsi="Arial" w:cs="Arial"/>
          <w:color w:val="FF0000"/>
          <w:sz w:val="21"/>
          <w:szCs w:val="21"/>
        </w:rPr>
      </w:pPr>
      <w:r w:rsidRPr="00CC50C7">
        <w:rPr>
          <w:rFonts w:ascii="Arial" w:hAnsi="Arial" w:cs="Arial"/>
          <w:color w:val="555555"/>
          <w:sz w:val="21"/>
          <w:szCs w:val="21"/>
        </w:rPr>
        <w:t xml:space="preserve">La </w:t>
      </w:r>
      <w:r w:rsidR="00BC189D" w:rsidRPr="00CC50C7">
        <w:rPr>
          <w:rFonts w:ascii="Arial" w:hAnsi="Arial" w:cs="Arial"/>
          <w:color w:val="555555"/>
          <w:sz w:val="21"/>
          <w:szCs w:val="21"/>
        </w:rPr>
        <w:t>Francia</w:t>
      </w:r>
      <w:r w:rsidR="00CF188A" w:rsidRPr="00CC50C7">
        <w:rPr>
          <w:rFonts w:ascii="Arial" w:hAnsi="Arial" w:cs="Arial"/>
          <w:color w:val="555555"/>
          <w:sz w:val="21"/>
          <w:szCs w:val="21"/>
        </w:rPr>
        <w:t xml:space="preserve"> </w:t>
      </w:r>
      <w:r w:rsidR="00B67CA7">
        <w:rPr>
          <w:rFonts w:ascii="Arial" w:hAnsi="Arial" w:cs="Arial"/>
          <w:color w:val="555555"/>
          <w:sz w:val="21"/>
          <w:szCs w:val="21"/>
        </w:rPr>
        <w:t>rappresenta</w:t>
      </w:r>
      <w:r w:rsidR="00B71D24" w:rsidRPr="00CC50C7">
        <w:rPr>
          <w:rFonts w:ascii="Arial" w:hAnsi="Arial" w:cs="Arial"/>
          <w:color w:val="555555"/>
          <w:sz w:val="21"/>
          <w:szCs w:val="21"/>
        </w:rPr>
        <w:t xml:space="preserve"> il primo mercato di destinazione per la maggior parte delle regioni italiane</w:t>
      </w:r>
      <w:r w:rsidR="00B67CA7">
        <w:rPr>
          <w:rFonts w:ascii="Arial" w:hAnsi="Arial" w:cs="Arial"/>
          <w:color w:val="555555"/>
          <w:sz w:val="21"/>
          <w:szCs w:val="21"/>
        </w:rPr>
        <w:t xml:space="preserve"> (</w:t>
      </w:r>
      <w:r w:rsidR="00CF188A" w:rsidRPr="00CC50C7">
        <w:rPr>
          <w:rFonts w:ascii="Arial" w:hAnsi="Arial" w:cs="Arial"/>
          <w:color w:val="555555"/>
          <w:sz w:val="21"/>
          <w:szCs w:val="21"/>
        </w:rPr>
        <w:t xml:space="preserve">pur facendo registrare in diverse di queste </w:t>
      </w:r>
      <w:proofErr w:type="gramStart"/>
      <w:r w:rsidR="00CF188A" w:rsidRPr="00CC50C7">
        <w:rPr>
          <w:rFonts w:ascii="Arial" w:hAnsi="Arial" w:cs="Arial"/>
          <w:color w:val="555555"/>
          <w:sz w:val="21"/>
          <w:szCs w:val="21"/>
        </w:rPr>
        <w:t>un trend</w:t>
      </w:r>
      <w:proofErr w:type="gramEnd"/>
      <w:r w:rsidR="00CF188A" w:rsidRPr="00CC50C7">
        <w:rPr>
          <w:rFonts w:ascii="Arial" w:hAnsi="Arial" w:cs="Arial"/>
          <w:color w:val="555555"/>
          <w:sz w:val="21"/>
          <w:szCs w:val="21"/>
        </w:rPr>
        <w:t xml:space="preserve"> in flessione, più o meno marcata, non compensato dall’andamento positivo delle altre</w:t>
      </w:r>
      <w:r w:rsidR="00B67CA7">
        <w:rPr>
          <w:rFonts w:ascii="Arial" w:hAnsi="Arial" w:cs="Arial"/>
          <w:color w:val="555555"/>
          <w:sz w:val="21"/>
          <w:szCs w:val="21"/>
        </w:rPr>
        <w:t>).</w:t>
      </w:r>
      <w:r w:rsidR="00B67CA7">
        <w:rPr>
          <w:rFonts w:ascii="Arial" w:hAnsi="Arial" w:cs="Arial"/>
          <w:color w:val="FF0000"/>
          <w:sz w:val="21"/>
          <w:szCs w:val="21"/>
        </w:rPr>
        <w:t xml:space="preserve"> </w:t>
      </w:r>
      <w:r w:rsidR="00B71D24" w:rsidRPr="00CC50C7">
        <w:rPr>
          <w:rFonts w:ascii="Arial" w:hAnsi="Arial" w:cs="Arial"/>
          <w:color w:val="555555"/>
          <w:sz w:val="21"/>
          <w:szCs w:val="21"/>
        </w:rPr>
        <w:t>Fanno eccezione il Friuli-Venezia Giulia</w:t>
      </w:r>
      <w:r w:rsidR="00CF188A" w:rsidRPr="00CC50C7">
        <w:rPr>
          <w:rFonts w:ascii="Arial" w:hAnsi="Arial" w:cs="Arial"/>
          <w:color w:val="555555"/>
          <w:sz w:val="21"/>
          <w:szCs w:val="21"/>
        </w:rPr>
        <w:t xml:space="preserve">, per il quale </w:t>
      </w:r>
      <w:r w:rsidR="007E4763" w:rsidRPr="00CC50C7">
        <w:rPr>
          <w:rFonts w:ascii="Arial" w:hAnsi="Arial" w:cs="Arial"/>
          <w:color w:val="555555"/>
          <w:sz w:val="21"/>
          <w:szCs w:val="21"/>
        </w:rPr>
        <w:t>il Regno Unito a +12,5%</w:t>
      </w:r>
      <w:r w:rsidR="00CF188A" w:rsidRPr="00CC50C7">
        <w:rPr>
          <w:rFonts w:ascii="Arial" w:hAnsi="Arial" w:cs="Arial"/>
          <w:color w:val="555555"/>
          <w:sz w:val="21"/>
          <w:szCs w:val="21"/>
        </w:rPr>
        <w:t xml:space="preserve"> rappresenta la prima destinazione</w:t>
      </w:r>
      <w:r w:rsidR="00B71D24" w:rsidRPr="00CC50C7">
        <w:rPr>
          <w:rFonts w:ascii="Arial" w:hAnsi="Arial" w:cs="Arial"/>
          <w:color w:val="555555"/>
          <w:sz w:val="21"/>
          <w:szCs w:val="21"/>
        </w:rPr>
        <w:t>, la Puglia</w:t>
      </w:r>
      <w:r w:rsidR="00CF188A" w:rsidRPr="00CC50C7">
        <w:rPr>
          <w:rFonts w:ascii="Arial" w:hAnsi="Arial" w:cs="Arial"/>
          <w:color w:val="555555"/>
          <w:sz w:val="21"/>
          <w:szCs w:val="21"/>
        </w:rPr>
        <w:t>,</w:t>
      </w:r>
      <w:r w:rsidR="00B71D24" w:rsidRPr="00CC50C7">
        <w:rPr>
          <w:rFonts w:ascii="Arial" w:hAnsi="Arial" w:cs="Arial"/>
          <w:color w:val="555555"/>
          <w:sz w:val="21"/>
          <w:szCs w:val="21"/>
        </w:rPr>
        <w:t xml:space="preserve"> </w:t>
      </w:r>
      <w:r w:rsidR="007E4763" w:rsidRPr="00CC50C7">
        <w:rPr>
          <w:rFonts w:ascii="Arial" w:hAnsi="Arial" w:cs="Arial"/>
          <w:color w:val="555555"/>
          <w:sz w:val="21"/>
          <w:szCs w:val="21"/>
        </w:rPr>
        <w:t xml:space="preserve">con </w:t>
      </w:r>
      <w:r w:rsidR="00B71D24" w:rsidRPr="00CC50C7">
        <w:rPr>
          <w:rFonts w:ascii="Arial" w:hAnsi="Arial" w:cs="Arial"/>
          <w:color w:val="555555"/>
          <w:sz w:val="21"/>
          <w:szCs w:val="21"/>
        </w:rPr>
        <w:t>gli Stati Uniti</w:t>
      </w:r>
      <w:r w:rsidR="007E4763" w:rsidRPr="00CC50C7">
        <w:rPr>
          <w:rFonts w:ascii="Arial" w:hAnsi="Arial" w:cs="Arial"/>
          <w:color w:val="555555"/>
          <w:sz w:val="21"/>
          <w:szCs w:val="21"/>
        </w:rPr>
        <w:t xml:space="preserve"> </w:t>
      </w:r>
      <w:r w:rsidR="00CF188A" w:rsidRPr="00CC50C7">
        <w:rPr>
          <w:rFonts w:ascii="Arial" w:hAnsi="Arial" w:cs="Arial"/>
          <w:color w:val="555555"/>
          <w:sz w:val="21"/>
          <w:szCs w:val="21"/>
        </w:rPr>
        <w:t>primo mercato</w:t>
      </w:r>
      <w:r w:rsidR="007E4763" w:rsidRPr="00CC50C7">
        <w:rPr>
          <w:rFonts w:ascii="Arial" w:hAnsi="Arial" w:cs="Arial"/>
          <w:color w:val="555555"/>
          <w:sz w:val="21"/>
          <w:szCs w:val="21"/>
        </w:rPr>
        <w:t xml:space="preserve"> a +21,3%</w:t>
      </w:r>
      <w:r w:rsidR="00CF188A" w:rsidRPr="00CC50C7">
        <w:rPr>
          <w:rFonts w:ascii="Arial" w:hAnsi="Arial" w:cs="Arial"/>
          <w:color w:val="555555"/>
          <w:sz w:val="21"/>
          <w:szCs w:val="21"/>
        </w:rPr>
        <w:t>,</w:t>
      </w:r>
      <w:r w:rsidR="007E4763" w:rsidRPr="00CC50C7">
        <w:rPr>
          <w:rFonts w:ascii="Arial" w:hAnsi="Arial" w:cs="Arial"/>
          <w:color w:val="555555"/>
          <w:sz w:val="21"/>
          <w:szCs w:val="21"/>
        </w:rPr>
        <w:t xml:space="preserve"> </w:t>
      </w:r>
      <w:r w:rsidR="00B71D24" w:rsidRPr="00CC50C7">
        <w:rPr>
          <w:rFonts w:ascii="Arial" w:hAnsi="Arial" w:cs="Arial"/>
          <w:color w:val="555555"/>
          <w:sz w:val="21"/>
          <w:szCs w:val="21"/>
        </w:rPr>
        <w:t>e</w:t>
      </w:r>
      <w:r w:rsidR="00B67CA7">
        <w:rPr>
          <w:rFonts w:ascii="Arial" w:hAnsi="Arial" w:cs="Arial"/>
          <w:color w:val="555555"/>
          <w:sz w:val="21"/>
          <w:szCs w:val="21"/>
        </w:rPr>
        <w:t xml:space="preserve"> il Trentino-Alto Adige, con</w:t>
      </w:r>
      <w:r w:rsidR="00B71D24" w:rsidRPr="00CC50C7">
        <w:rPr>
          <w:rFonts w:ascii="Arial" w:hAnsi="Arial" w:cs="Arial"/>
          <w:color w:val="555555"/>
          <w:sz w:val="21"/>
          <w:szCs w:val="21"/>
        </w:rPr>
        <w:t xml:space="preserve"> la </w:t>
      </w:r>
      <w:r w:rsidR="00BC189D" w:rsidRPr="00CC50C7">
        <w:rPr>
          <w:rFonts w:ascii="Arial" w:hAnsi="Arial" w:cs="Arial"/>
          <w:color w:val="555555"/>
          <w:sz w:val="21"/>
          <w:szCs w:val="21"/>
        </w:rPr>
        <w:t xml:space="preserve">Germania </w:t>
      </w:r>
      <w:r w:rsidR="007E4763" w:rsidRPr="00CC50C7">
        <w:rPr>
          <w:rFonts w:ascii="Arial" w:hAnsi="Arial" w:cs="Arial"/>
          <w:color w:val="555555"/>
          <w:sz w:val="21"/>
          <w:szCs w:val="21"/>
        </w:rPr>
        <w:t xml:space="preserve">stabile </w:t>
      </w:r>
      <w:r w:rsidR="002F412F" w:rsidRPr="00CC50C7">
        <w:rPr>
          <w:rFonts w:ascii="Arial" w:hAnsi="Arial" w:cs="Arial"/>
          <w:color w:val="555555"/>
          <w:sz w:val="21"/>
          <w:szCs w:val="21"/>
        </w:rPr>
        <w:t>(+</w:t>
      </w:r>
      <w:r w:rsidR="007E4763" w:rsidRPr="00CC50C7">
        <w:rPr>
          <w:rFonts w:ascii="Arial" w:hAnsi="Arial" w:cs="Arial"/>
          <w:color w:val="555555"/>
          <w:sz w:val="21"/>
          <w:szCs w:val="21"/>
        </w:rPr>
        <w:t>1</w:t>
      </w:r>
      <w:r w:rsidR="002F412F" w:rsidRPr="00CC50C7">
        <w:rPr>
          <w:rFonts w:ascii="Arial" w:hAnsi="Arial" w:cs="Arial"/>
          <w:color w:val="555555"/>
          <w:sz w:val="21"/>
          <w:szCs w:val="21"/>
        </w:rPr>
        <w:t>,1%)</w:t>
      </w:r>
      <w:r w:rsidR="00B67CA7">
        <w:rPr>
          <w:rFonts w:ascii="Arial" w:hAnsi="Arial" w:cs="Arial"/>
          <w:color w:val="555555"/>
          <w:sz w:val="21"/>
          <w:szCs w:val="21"/>
        </w:rPr>
        <w:t>.</w:t>
      </w:r>
    </w:p>
    <w:p w14:paraId="3F2ACE01" w14:textId="012E0F7C" w:rsidR="00166F06" w:rsidRPr="00CC50C7" w:rsidRDefault="000F6C2F" w:rsidP="00B94A77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hAnsi="Arial" w:cs="Arial"/>
          <w:color w:val="555555"/>
          <w:sz w:val="21"/>
          <w:szCs w:val="21"/>
        </w:rPr>
        <w:t xml:space="preserve">Andamento differenziato per </w:t>
      </w:r>
      <w:r w:rsidRPr="00CC50C7">
        <w:rPr>
          <w:rFonts w:ascii="Arial" w:hAnsi="Arial" w:cs="Arial"/>
          <w:color w:val="555555"/>
          <w:sz w:val="21"/>
          <w:szCs w:val="21"/>
        </w:rPr>
        <w:t>le principali province italiane per valore esportato</w:t>
      </w:r>
      <w:r w:rsidRPr="00CC50C7">
        <w:rPr>
          <w:rFonts w:ascii="Arial" w:hAnsi="Arial" w:cs="Arial"/>
          <w:color w:val="555555"/>
          <w:sz w:val="21"/>
          <w:szCs w:val="21"/>
        </w:rPr>
        <w:t>:</w:t>
      </w:r>
      <w:r w:rsidRPr="00CC50C7">
        <w:rPr>
          <w:rFonts w:ascii="Arial" w:hAnsi="Arial" w:cs="Arial"/>
          <w:color w:val="555555"/>
          <w:sz w:val="21"/>
          <w:szCs w:val="21"/>
        </w:rPr>
        <w:t xml:space="preserve"> </w:t>
      </w:r>
      <w:r w:rsidR="00166F06" w:rsidRPr="00CC50C7">
        <w:rPr>
          <w:rFonts w:ascii="Arial" w:hAnsi="Arial" w:cs="Arial"/>
          <w:color w:val="555555"/>
          <w:sz w:val="21"/>
          <w:szCs w:val="21"/>
        </w:rPr>
        <w:t>Treviso</w:t>
      </w:r>
      <w:r w:rsidR="001D3D5B" w:rsidRPr="00CC50C7">
        <w:rPr>
          <w:rFonts w:ascii="Arial" w:hAnsi="Arial" w:cs="Arial"/>
          <w:color w:val="555555"/>
          <w:sz w:val="21"/>
          <w:szCs w:val="21"/>
        </w:rPr>
        <w:t xml:space="preserve"> (-4,1%),</w:t>
      </w:r>
      <w:r w:rsidR="006E03D4" w:rsidRPr="00CC50C7">
        <w:rPr>
          <w:rFonts w:ascii="Arial" w:hAnsi="Arial" w:cs="Arial"/>
          <w:color w:val="555555"/>
          <w:sz w:val="21"/>
          <w:szCs w:val="21"/>
        </w:rPr>
        <w:t xml:space="preserve"> Pordenone</w:t>
      </w:r>
      <w:r w:rsidR="001D3D5B" w:rsidRPr="00CC50C7">
        <w:rPr>
          <w:rFonts w:ascii="Arial" w:hAnsi="Arial" w:cs="Arial"/>
          <w:color w:val="555555"/>
          <w:sz w:val="21"/>
          <w:szCs w:val="21"/>
        </w:rPr>
        <w:t xml:space="preserve"> (+10,8%)</w:t>
      </w:r>
      <w:r w:rsidR="009573A7" w:rsidRPr="00CC50C7">
        <w:rPr>
          <w:rFonts w:ascii="Arial" w:hAnsi="Arial" w:cs="Arial"/>
          <w:color w:val="555555"/>
          <w:sz w:val="21"/>
          <w:szCs w:val="21"/>
        </w:rPr>
        <w:t xml:space="preserve"> </w:t>
      </w:r>
      <w:r w:rsidR="001D3D5B" w:rsidRPr="00CC50C7">
        <w:rPr>
          <w:rFonts w:ascii="Arial" w:hAnsi="Arial" w:cs="Arial"/>
          <w:color w:val="555555"/>
          <w:sz w:val="21"/>
          <w:szCs w:val="21"/>
        </w:rPr>
        <w:t>e Monza e Brianza (-2,7%)</w:t>
      </w:r>
      <w:r w:rsidRPr="00CC50C7">
        <w:rPr>
          <w:rFonts w:ascii="Arial" w:hAnsi="Arial" w:cs="Arial"/>
          <w:color w:val="555555"/>
          <w:sz w:val="21"/>
          <w:szCs w:val="21"/>
        </w:rPr>
        <w:t>.</w:t>
      </w:r>
      <w:r w:rsidR="0025799D" w:rsidRPr="00CC50C7"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682DE0D7" w14:textId="708AEE4A" w:rsidR="00166F06" w:rsidRPr="00CC50C7" w:rsidRDefault="00166F06" w:rsidP="00B94A77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A livello di comparti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FC720C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il maggior contributo è dato dai </w:t>
      </w:r>
      <w:r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Mobili</w:t>
      </w:r>
      <w:r w:rsidR="00CF188A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FC720C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e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la </w:t>
      </w:r>
      <w:r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Lombardia</w:t>
      </w:r>
      <w:r w:rsidR="00D33943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nonostante un </w:t>
      </w:r>
      <w:r w:rsidR="00A76D1E" w:rsidRPr="00CC50C7">
        <w:rPr>
          <w:rFonts w:ascii="Arial" w:eastAsiaTheme="minorHAnsi" w:hAnsi="Arial" w:cs="Arial"/>
          <w:color w:val="555555"/>
          <w:sz w:val="21"/>
          <w:szCs w:val="21"/>
        </w:rPr>
        <w:t>-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>4,</w:t>
      </w:r>
      <w:r w:rsidR="001D3D5B" w:rsidRPr="00CC50C7">
        <w:rPr>
          <w:rFonts w:ascii="Arial" w:eastAsiaTheme="minorHAnsi" w:hAnsi="Arial" w:cs="Arial"/>
          <w:color w:val="555555"/>
          <w:sz w:val="21"/>
          <w:szCs w:val="21"/>
        </w:rPr>
        <w:t>9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% rispetto al </w:t>
      </w:r>
      <w:proofErr w:type="gramStart"/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>1°</w:t>
      </w:r>
      <w:proofErr w:type="gramEnd"/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semestre 202</w:t>
      </w:r>
      <w:r w:rsidR="001D3D5B"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</w:t>
      </w:r>
      <w:r w:rsidR="00FC720C" w:rsidRPr="00CC50C7">
        <w:rPr>
          <w:rFonts w:ascii="Arial" w:eastAsiaTheme="minorHAnsi" w:hAnsi="Arial" w:cs="Arial"/>
          <w:color w:val="555555"/>
          <w:sz w:val="21"/>
          <w:szCs w:val="21"/>
        </w:rPr>
        <w:t>si conferma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la prima regione </w:t>
      </w:r>
      <w:r w:rsidR="00B94A7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per valore esportato </w:t>
      </w:r>
      <w:r w:rsidR="00AE6973" w:rsidRPr="00CC50C7">
        <w:rPr>
          <w:rFonts w:ascii="Arial" w:eastAsiaTheme="minorHAnsi" w:hAnsi="Arial" w:cs="Arial"/>
          <w:color w:val="555555"/>
          <w:sz w:val="21"/>
          <w:szCs w:val="21"/>
        </w:rPr>
        <w:t>(</w:t>
      </w:r>
      <w:r w:rsidR="000F6C2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1,5 miliardi di euro, pari al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2</w:t>
      </w:r>
      <w:r w:rsidR="001D3D5B" w:rsidRPr="00CC50C7">
        <w:rPr>
          <w:rFonts w:ascii="Arial" w:eastAsiaTheme="minorHAnsi" w:hAnsi="Arial" w:cs="Arial"/>
          <w:color w:val="555555"/>
          <w:sz w:val="21"/>
          <w:szCs w:val="21"/>
        </w:rPr>
        <w:t>7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% del total</w:t>
      </w:r>
      <w:r w:rsidR="00AE6973" w:rsidRPr="00CC50C7">
        <w:rPr>
          <w:rFonts w:ascii="Arial" w:eastAsiaTheme="minorHAnsi" w:hAnsi="Arial" w:cs="Arial"/>
          <w:color w:val="555555"/>
          <w:sz w:val="21"/>
          <w:szCs w:val="21"/>
        </w:rPr>
        <w:t>e)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  <w:r w:rsidR="00B94A7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>L</w:t>
      </w:r>
      <w:r w:rsidR="00BC189D" w:rsidRPr="00CC50C7">
        <w:rPr>
          <w:rFonts w:ascii="Arial" w:eastAsiaTheme="minorHAnsi" w:hAnsi="Arial" w:cs="Arial"/>
          <w:color w:val="555555"/>
          <w:sz w:val="21"/>
          <w:szCs w:val="21"/>
        </w:rPr>
        <w:t>a</w:t>
      </w:r>
      <w:r w:rsidR="00B94A7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Francia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prima destinazione, chiude a </w:t>
      </w:r>
      <w:r w:rsidR="00FC720C" w:rsidRPr="00CC50C7">
        <w:rPr>
          <w:rFonts w:ascii="Arial" w:eastAsiaTheme="minorHAnsi" w:hAnsi="Arial" w:cs="Arial"/>
          <w:color w:val="555555"/>
          <w:sz w:val="21"/>
          <w:szCs w:val="21"/>
        </w:rPr>
        <w:t>-</w:t>
      </w:r>
      <w:r w:rsidR="0044389A" w:rsidRPr="00CC50C7">
        <w:rPr>
          <w:rFonts w:ascii="Arial" w:eastAsiaTheme="minorHAnsi" w:hAnsi="Arial" w:cs="Arial"/>
          <w:color w:val="555555"/>
          <w:sz w:val="21"/>
          <w:szCs w:val="21"/>
        </w:rPr>
        <w:t>4,5%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su gen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>naio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-giu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>gno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2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>0</w:t>
      </w:r>
      <w:r w:rsidR="00FC720C" w:rsidRPr="00CC50C7">
        <w:rPr>
          <w:rFonts w:ascii="Arial" w:eastAsiaTheme="minorHAnsi" w:hAnsi="Arial" w:cs="Arial"/>
          <w:color w:val="555555"/>
          <w:sz w:val="21"/>
          <w:szCs w:val="21"/>
        </w:rPr>
        <w:t>2</w:t>
      </w:r>
      <w:r w:rsidR="0044389A"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;</w:t>
      </w:r>
      <w:r w:rsidR="0044389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seguono 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gli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Stati Uniti</w:t>
      </w:r>
      <w:r w:rsidR="0044389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a -2,7</w:t>
      </w:r>
      <w:r w:rsidR="00BA0C50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>. Tra i principali mercati</w:t>
      </w:r>
      <w:r w:rsidR="004A42AA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D3394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44389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Spagna e Paesi Bassi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registra</w:t>
      </w:r>
      <w:r w:rsidR="00B94A77" w:rsidRPr="00CC50C7">
        <w:rPr>
          <w:rFonts w:ascii="Arial" w:eastAsiaTheme="minorHAnsi" w:hAnsi="Arial" w:cs="Arial"/>
          <w:color w:val="555555"/>
          <w:sz w:val="21"/>
          <w:szCs w:val="21"/>
        </w:rPr>
        <w:t>no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44389A" w:rsidRPr="00CC50C7">
        <w:rPr>
          <w:rFonts w:ascii="Arial" w:eastAsiaTheme="minorHAnsi" w:hAnsi="Arial" w:cs="Arial"/>
          <w:color w:val="555555"/>
          <w:sz w:val="21"/>
          <w:szCs w:val="21"/>
        </w:rPr>
        <w:t>andamenti positivi</w:t>
      </w:r>
      <w:r w:rsidR="00B03BB7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</w:p>
    <w:p w14:paraId="067A3057" w14:textId="7FCEFC11" w:rsidR="008D0952" w:rsidRPr="00CC50C7" w:rsidRDefault="00412329" w:rsidP="00B94A77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Il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166F06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Veneto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è la seconda regione per valore esportato di </w:t>
      </w:r>
      <w:r w:rsidR="000844FD" w:rsidRPr="00CC50C7">
        <w:rPr>
          <w:rFonts w:ascii="Arial" w:eastAsiaTheme="minorHAnsi" w:hAnsi="Arial" w:cs="Arial"/>
          <w:color w:val="555555"/>
          <w:sz w:val="21"/>
          <w:szCs w:val="21"/>
        </w:rPr>
        <w:t>M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obili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con 1,</w:t>
      </w:r>
      <w:r w:rsidR="00B03BB7"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miliardi di euro (2</w:t>
      </w:r>
      <w:r w:rsidR="00B03BB7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% del totale) e un c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alo del </w:t>
      </w:r>
      <w:r w:rsidR="00B03BB7" w:rsidRPr="00CC50C7">
        <w:rPr>
          <w:rFonts w:ascii="Arial" w:eastAsiaTheme="minorHAnsi" w:hAnsi="Arial" w:cs="Arial"/>
          <w:color w:val="555555"/>
          <w:sz w:val="21"/>
          <w:szCs w:val="21"/>
        </w:rPr>
        <w:t>6,6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% 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sui primi sei mesi del 202</w:t>
      </w:r>
      <w:r w:rsidR="00B03BB7"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9A1EBA" w:rsidRPr="00CC50C7">
        <w:rPr>
          <w:rFonts w:ascii="Arial" w:eastAsiaTheme="minorHAnsi" w:hAnsi="Arial" w:cs="Arial"/>
          <w:color w:val="555555"/>
          <w:sz w:val="21"/>
          <w:szCs w:val="21"/>
        </w:rPr>
        <w:t>Anche per questa regione l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>a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Francia 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si conferma 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l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>a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principal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>e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destinazion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>e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B03BB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nonostante una variazione negativa del 10,8% sul </w:t>
      </w:r>
      <w:proofErr w:type="gramStart"/>
      <w:r w:rsidR="00B03BB7" w:rsidRPr="00CC50C7">
        <w:rPr>
          <w:rFonts w:ascii="Arial" w:eastAsiaTheme="minorHAnsi" w:hAnsi="Arial" w:cs="Arial"/>
          <w:color w:val="555555"/>
          <w:sz w:val="21"/>
          <w:szCs w:val="21"/>
        </w:rPr>
        <w:t>1°</w:t>
      </w:r>
      <w:proofErr w:type="gramEnd"/>
      <w:r w:rsidR="00B03BB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semestre 2024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. 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>Seguono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proofErr w:type="gramStart"/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>Germania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 xml:space="preserve">, 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a</w:t>
      </w:r>
      <w:proofErr w:type="gramEnd"/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-2,1% e 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>Stati Uniti</w:t>
      </w:r>
      <w:r w:rsidR="009A1EB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primo mercato </w:t>
      </w:r>
      <w:proofErr w:type="spellStart"/>
      <w:r w:rsidR="009A1EBA" w:rsidRPr="00CC50C7">
        <w:rPr>
          <w:rFonts w:ascii="Arial" w:eastAsiaTheme="minorHAnsi" w:hAnsi="Arial" w:cs="Arial"/>
          <w:color w:val="555555"/>
          <w:sz w:val="21"/>
          <w:szCs w:val="21"/>
        </w:rPr>
        <w:t>extraUE</w:t>
      </w:r>
      <w:proofErr w:type="spellEnd"/>
      <w:r w:rsidR="009A1EB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>a</w:t>
      </w:r>
      <w:r w:rsidR="009A1EB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>-14,6</w:t>
      </w:r>
      <w:r w:rsidR="009A1EBA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T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>ra le prime dieci destinazioni del Veneto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a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ndament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o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positiv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>o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per i</w:t>
      </w:r>
      <w:r w:rsidR="00CF188A" w:rsidRPr="00CC50C7">
        <w:rPr>
          <w:rFonts w:ascii="Arial" w:eastAsiaTheme="minorHAnsi" w:hAnsi="Arial" w:cs="Arial"/>
          <w:color w:val="555555"/>
          <w:sz w:val="21"/>
          <w:szCs w:val="21"/>
        </w:rPr>
        <w:t>l Canada (+24,2%)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Treviso 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si conferma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la 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prima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provincia </w:t>
      </w:r>
      <w:r w:rsidR="000F6C2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italiana 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per valore esportato di Mobil</w:t>
      </w:r>
      <w:r w:rsidR="00F74686" w:rsidRPr="00CC50C7">
        <w:rPr>
          <w:rFonts w:ascii="Arial" w:eastAsiaTheme="minorHAnsi" w:hAnsi="Arial" w:cs="Arial"/>
          <w:color w:val="555555"/>
          <w:sz w:val="21"/>
          <w:szCs w:val="21"/>
        </w:rPr>
        <w:t>i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>862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mili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>oni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di euro; 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>-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>7,</w:t>
      </w:r>
      <w:r w:rsidR="000F6C2F"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CF409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% </w:t>
      </w:r>
      <w:r w:rsidR="008D0952" w:rsidRPr="00CC50C7">
        <w:rPr>
          <w:rFonts w:ascii="Arial" w:eastAsiaTheme="minorHAnsi" w:hAnsi="Arial" w:cs="Arial"/>
          <w:color w:val="555555"/>
          <w:sz w:val="21"/>
          <w:szCs w:val="21"/>
        </w:rPr>
        <w:t>rispetto a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gen</w:t>
      </w:r>
      <w:r w:rsidR="00A86535" w:rsidRPr="00CC50C7">
        <w:rPr>
          <w:rFonts w:ascii="Arial" w:eastAsiaTheme="minorHAnsi" w:hAnsi="Arial" w:cs="Arial"/>
          <w:color w:val="555555"/>
          <w:sz w:val="21"/>
          <w:szCs w:val="21"/>
        </w:rPr>
        <w:t>naio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-giu</w:t>
      </w:r>
      <w:r w:rsidR="00A86535" w:rsidRPr="00CC50C7">
        <w:rPr>
          <w:rFonts w:ascii="Arial" w:eastAsiaTheme="minorHAnsi" w:hAnsi="Arial" w:cs="Arial"/>
          <w:color w:val="555555"/>
          <w:sz w:val="21"/>
          <w:szCs w:val="21"/>
        </w:rPr>
        <w:t>gno 20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2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) </w:t>
      </w:r>
      <w:r w:rsidR="001E0CE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e anche in questo caso la principale destinazione è la 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Francia (</w:t>
      </w:r>
      <w:r w:rsidR="008D0952" w:rsidRPr="00CC50C7">
        <w:rPr>
          <w:rFonts w:ascii="Arial" w:eastAsiaTheme="minorHAnsi" w:hAnsi="Arial" w:cs="Arial"/>
          <w:color w:val="555555"/>
          <w:sz w:val="21"/>
          <w:szCs w:val="21"/>
        </w:rPr>
        <w:t>-</w:t>
      </w:r>
      <w:r w:rsidR="00F7608B" w:rsidRPr="00CC50C7">
        <w:rPr>
          <w:rFonts w:ascii="Arial" w:eastAsiaTheme="minorHAnsi" w:hAnsi="Arial" w:cs="Arial"/>
          <w:color w:val="555555"/>
          <w:sz w:val="21"/>
          <w:szCs w:val="21"/>
        </w:rPr>
        <w:t>11,7</w:t>
      </w:r>
      <w:r w:rsidR="00C5082B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="001E0CE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. </w:t>
      </w:r>
    </w:p>
    <w:p w14:paraId="7F9B8768" w14:textId="262BF046" w:rsidR="00166F06" w:rsidRPr="00CC50C7" w:rsidRDefault="001C3373" w:rsidP="00B94A77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Tra le regioni più significative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 xml:space="preserve"> in valore</w:t>
      </w:r>
      <w:r w:rsidR="00575EC6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C5082B" w:rsidRPr="00CC50C7">
        <w:rPr>
          <w:rFonts w:ascii="Arial" w:eastAsiaTheme="minorHAnsi" w:hAnsi="Arial" w:cs="Arial"/>
          <w:color w:val="555555"/>
          <w:sz w:val="21"/>
          <w:szCs w:val="21"/>
        </w:rPr>
        <w:t>i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l </w:t>
      </w:r>
      <w:r w:rsidR="00C5082B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Friuli-Venezia Gi</w:t>
      </w:r>
      <w:r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ulia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r</w:t>
      </w:r>
      <w:r w:rsidR="00E80F60" w:rsidRPr="00CC50C7">
        <w:rPr>
          <w:rFonts w:ascii="Arial" w:eastAsiaTheme="minorHAnsi" w:hAnsi="Arial" w:cs="Arial"/>
          <w:color w:val="555555"/>
          <w:sz w:val="21"/>
          <w:szCs w:val="21"/>
        </w:rPr>
        <w:t>egistra l</w:t>
      </w:r>
      <w:r w:rsidR="00C5082B" w:rsidRPr="00CC50C7">
        <w:rPr>
          <w:rFonts w:ascii="Arial" w:eastAsiaTheme="minorHAnsi" w:hAnsi="Arial" w:cs="Arial"/>
          <w:color w:val="555555"/>
          <w:sz w:val="21"/>
          <w:szCs w:val="21"/>
        </w:rPr>
        <w:t>a</w:t>
      </w:r>
      <w:r w:rsidR="00E80F6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c</w:t>
      </w:r>
      <w:r w:rsidR="00C5082B" w:rsidRPr="00CC50C7">
        <w:rPr>
          <w:rFonts w:ascii="Arial" w:eastAsiaTheme="minorHAnsi" w:hAnsi="Arial" w:cs="Arial"/>
          <w:color w:val="555555"/>
          <w:sz w:val="21"/>
          <w:szCs w:val="21"/>
        </w:rPr>
        <w:t>rescit</w:t>
      </w:r>
      <w:r w:rsidR="00E80F60" w:rsidRPr="00CC50C7">
        <w:rPr>
          <w:rFonts w:ascii="Arial" w:eastAsiaTheme="minorHAnsi" w:hAnsi="Arial" w:cs="Arial"/>
          <w:color w:val="555555"/>
          <w:sz w:val="21"/>
          <w:szCs w:val="21"/>
        </w:rPr>
        <w:t>a più marcat</w:t>
      </w:r>
      <w:r w:rsidR="00C5082B" w:rsidRPr="00CC50C7">
        <w:rPr>
          <w:rFonts w:ascii="Arial" w:eastAsiaTheme="minorHAnsi" w:hAnsi="Arial" w:cs="Arial"/>
          <w:color w:val="555555"/>
          <w:sz w:val="21"/>
          <w:szCs w:val="21"/>
        </w:rPr>
        <w:t>a</w:t>
      </w:r>
      <w:r w:rsidR="00FC167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con un export pari a </w:t>
      </w:r>
      <w:r w:rsidR="00FC167F" w:rsidRPr="00CC50C7">
        <w:rPr>
          <w:rFonts w:ascii="Arial" w:eastAsiaTheme="minorHAnsi" w:hAnsi="Arial" w:cs="Arial"/>
          <w:color w:val="555555"/>
          <w:sz w:val="21"/>
          <w:szCs w:val="21"/>
        </w:rPr>
        <w:t>998 milioni di euro</w:t>
      </w:r>
      <w:r w:rsidR="00FC167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</w:t>
      </w:r>
      <w:r w:rsidR="00C5082B" w:rsidRPr="00CC50C7">
        <w:rPr>
          <w:rFonts w:ascii="Arial" w:eastAsiaTheme="minorHAnsi" w:hAnsi="Arial" w:cs="Arial"/>
          <w:color w:val="555555"/>
          <w:sz w:val="21"/>
          <w:szCs w:val="21"/>
        </w:rPr>
        <w:t>+7,4</w:t>
      </w:r>
      <w:r w:rsidR="00E80F60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FC167F" w:rsidRPr="00CC50C7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 xml:space="preserve"> e</w:t>
      </w:r>
      <w:r w:rsidR="00E80F6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destinato in primo luogo</w:t>
      </w:r>
      <w:r w:rsidR="00DD0B7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al</w:t>
      </w:r>
      <w:r w:rsidR="00DD0B7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Regno Unito </w:t>
      </w:r>
      <w:r w:rsidR="00C5082B" w:rsidRPr="00CC50C7">
        <w:rPr>
          <w:rFonts w:ascii="Arial" w:eastAsiaTheme="minorHAnsi" w:hAnsi="Arial" w:cs="Arial"/>
          <w:color w:val="555555"/>
          <w:sz w:val="21"/>
          <w:szCs w:val="21"/>
        </w:rPr>
        <w:t>(+13,6%)</w:t>
      </w:r>
      <w:r w:rsidR="00DD0B7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. </w:t>
      </w:r>
    </w:p>
    <w:p w14:paraId="745EA16A" w14:textId="190F8D1C" w:rsidR="00832CC4" w:rsidRPr="00CC50C7" w:rsidRDefault="00166F06" w:rsidP="00B94A77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Anche per l’</w:t>
      </w:r>
      <w:r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Illuminazione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la </w:t>
      </w:r>
      <w:r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Lombardia</w:t>
      </w:r>
      <w:r w:rsidR="002E752D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>nonostante un calo del 7,2% rispetto ai primi sei mesi dello scorso anno, mantiene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la prima 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>posizione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per valore </w:t>
      </w:r>
      <w:r w:rsidR="00BE350D" w:rsidRPr="00CC50C7">
        <w:rPr>
          <w:rFonts w:ascii="Arial" w:eastAsiaTheme="minorHAnsi" w:hAnsi="Arial" w:cs="Arial"/>
          <w:color w:val="555555"/>
          <w:sz w:val="21"/>
          <w:szCs w:val="21"/>
        </w:rPr>
        <w:t>esportato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C5082B" w:rsidRPr="00CC50C7">
        <w:rPr>
          <w:rFonts w:ascii="Arial" w:eastAsiaTheme="minorHAnsi" w:hAnsi="Arial" w:cs="Arial"/>
          <w:color w:val="555555"/>
          <w:sz w:val="21"/>
          <w:szCs w:val="21"/>
        </w:rPr>
        <w:t>20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 euro 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 xml:space="preserve">nel </w:t>
      </w:r>
      <w:proofErr w:type="gramStart"/>
      <w:r w:rsidR="00B67CA7">
        <w:rPr>
          <w:rFonts w:ascii="Arial" w:eastAsiaTheme="minorHAnsi" w:hAnsi="Arial" w:cs="Arial"/>
          <w:color w:val="555555"/>
          <w:sz w:val="21"/>
          <w:szCs w:val="21"/>
        </w:rPr>
        <w:t>1°</w:t>
      </w:r>
      <w:proofErr w:type="gramEnd"/>
      <w:r w:rsidR="00B67CA7">
        <w:rPr>
          <w:rFonts w:ascii="Arial" w:eastAsiaTheme="minorHAnsi" w:hAnsi="Arial" w:cs="Arial"/>
          <w:color w:val="555555"/>
          <w:sz w:val="21"/>
          <w:szCs w:val="21"/>
        </w:rPr>
        <w:t xml:space="preserve"> semestre</w:t>
      </w:r>
      <w:r w:rsidR="00BE350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202</w:t>
      </w:r>
      <w:r w:rsidR="00C5082B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pari al 3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>6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% del totale)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;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832CC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Francia 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>(-2,9%), Ger</w:t>
      </w:r>
      <w:r w:rsidR="00BE350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mania </w:t>
      </w:r>
      <w:r w:rsidR="00832CC4" w:rsidRPr="00CC50C7">
        <w:rPr>
          <w:rFonts w:ascii="Arial" w:eastAsiaTheme="minorHAnsi" w:hAnsi="Arial" w:cs="Arial"/>
          <w:color w:val="555555"/>
          <w:sz w:val="21"/>
          <w:szCs w:val="21"/>
        </w:rPr>
        <w:t>(-2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>2,1%</w:t>
      </w:r>
      <w:r w:rsidR="00832CC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) e 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Stati Uniti (-19%) si confermano </w:t>
      </w:r>
      <w:r w:rsidR="00832CC4" w:rsidRPr="00CC50C7">
        <w:rPr>
          <w:rFonts w:ascii="Arial" w:eastAsiaTheme="minorHAnsi" w:hAnsi="Arial" w:cs="Arial"/>
          <w:color w:val="555555"/>
          <w:sz w:val="21"/>
          <w:szCs w:val="21"/>
        </w:rPr>
        <w:t>i prim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>i</w:t>
      </w:r>
      <w:r w:rsidR="00832CC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mercat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>i</w:t>
      </w:r>
      <w:r w:rsidR="00832CC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di </w:t>
      </w:r>
      <w:r w:rsidR="00BE350D" w:rsidRPr="00CC50C7">
        <w:rPr>
          <w:rFonts w:ascii="Arial" w:eastAsiaTheme="minorHAnsi" w:hAnsi="Arial" w:cs="Arial"/>
          <w:color w:val="555555"/>
          <w:sz w:val="21"/>
          <w:szCs w:val="21"/>
        </w:rPr>
        <w:t>destina</w:t>
      </w:r>
      <w:r w:rsidR="00E80F60" w:rsidRPr="00CC50C7">
        <w:rPr>
          <w:rFonts w:ascii="Arial" w:eastAsiaTheme="minorHAnsi" w:hAnsi="Arial" w:cs="Arial"/>
          <w:color w:val="555555"/>
          <w:sz w:val="21"/>
          <w:szCs w:val="21"/>
        </w:rPr>
        <w:t>zione</w:t>
      </w:r>
      <w:r w:rsidR="00832CC4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</w:p>
    <w:p w14:paraId="318F6F3B" w14:textId="4BBC661D" w:rsidR="00AE2BB1" w:rsidRPr="00CC50C7" w:rsidRDefault="00166F06" w:rsidP="00B94A77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Il </w:t>
      </w:r>
      <w:r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Veneto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, al secondo posto, c</w:t>
      </w:r>
      <w:r w:rsidR="00E216DD" w:rsidRPr="00CC50C7">
        <w:rPr>
          <w:rFonts w:ascii="Arial" w:eastAsiaTheme="minorHAnsi" w:hAnsi="Arial" w:cs="Arial"/>
          <w:color w:val="555555"/>
          <w:sz w:val="21"/>
          <w:szCs w:val="21"/>
        </w:rPr>
        <w:t>hiu</w:t>
      </w:r>
      <w:r w:rsidR="000822D2" w:rsidRPr="00CC50C7">
        <w:rPr>
          <w:rFonts w:ascii="Arial" w:eastAsiaTheme="minorHAnsi" w:hAnsi="Arial" w:cs="Arial"/>
          <w:color w:val="555555"/>
          <w:sz w:val="21"/>
          <w:szCs w:val="21"/>
        </w:rPr>
        <w:t>d</w:t>
      </w:r>
      <w:r w:rsidR="00E216DD" w:rsidRPr="00CC50C7">
        <w:rPr>
          <w:rFonts w:ascii="Arial" w:eastAsiaTheme="minorHAnsi" w:hAnsi="Arial" w:cs="Arial"/>
          <w:color w:val="555555"/>
          <w:sz w:val="21"/>
          <w:szCs w:val="21"/>
        </w:rPr>
        <w:t>e a -2</w:t>
      </w:r>
      <w:r w:rsidR="00AE2BB1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>1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% sui primi sei mesi del 202</w:t>
      </w:r>
      <w:r w:rsidR="002E752D" w:rsidRPr="00CC50C7">
        <w:rPr>
          <w:rFonts w:ascii="Arial" w:eastAsiaTheme="minorHAnsi" w:hAnsi="Arial" w:cs="Arial"/>
          <w:color w:val="555555"/>
          <w:sz w:val="21"/>
          <w:szCs w:val="21"/>
        </w:rPr>
        <w:t>4 per un valore pari a 187 milioni di euro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  <w:r w:rsidR="00AE2BB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E216DD" w:rsidRPr="00CC50C7">
        <w:rPr>
          <w:rFonts w:ascii="Arial" w:eastAsiaTheme="minorHAnsi" w:hAnsi="Arial" w:cs="Arial"/>
          <w:color w:val="555555"/>
          <w:sz w:val="21"/>
          <w:szCs w:val="21"/>
        </w:rPr>
        <w:t>P</w:t>
      </w:r>
      <w:r w:rsidR="00AE2BB1" w:rsidRPr="00CC50C7">
        <w:rPr>
          <w:rFonts w:ascii="Arial" w:eastAsiaTheme="minorHAnsi" w:hAnsi="Arial" w:cs="Arial"/>
          <w:color w:val="555555"/>
          <w:sz w:val="21"/>
          <w:szCs w:val="21"/>
        </w:rPr>
        <w:t>er questa regione, la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AE2BB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principale destinazione si conferma la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Germania</w:t>
      </w:r>
      <w:r w:rsidR="00AE2BB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(</w:t>
      </w:r>
      <w:r w:rsidR="009C59D8" w:rsidRPr="00CC50C7">
        <w:rPr>
          <w:rFonts w:ascii="Arial" w:eastAsiaTheme="minorHAnsi" w:hAnsi="Arial" w:cs="Arial"/>
          <w:color w:val="555555"/>
          <w:sz w:val="21"/>
          <w:szCs w:val="21"/>
        </w:rPr>
        <w:t>+</w:t>
      </w:r>
      <w:r w:rsidR="00E216DD" w:rsidRPr="00CC50C7">
        <w:rPr>
          <w:rFonts w:ascii="Arial" w:eastAsiaTheme="minorHAnsi" w:hAnsi="Arial" w:cs="Arial"/>
          <w:color w:val="555555"/>
          <w:sz w:val="21"/>
          <w:szCs w:val="21"/>
        </w:rPr>
        <w:t>1</w:t>
      </w:r>
      <w:r w:rsidR="009C59D8" w:rsidRPr="00CC50C7">
        <w:rPr>
          <w:rFonts w:ascii="Arial" w:eastAsiaTheme="minorHAnsi" w:hAnsi="Arial" w:cs="Arial"/>
          <w:color w:val="555555"/>
          <w:sz w:val="21"/>
          <w:szCs w:val="21"/>
        </w:rPr>
        <w:t>0</w:t>
      </w:r>
      <w:r w:rsidR="00AE2BB1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3F353A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AE2BB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su gen</w:t>
      </w:r>
      <w:r w:rsidR="007E67C2" w:rsidRPr="00CC50C7">
        <w:rPr>
          <w:rFonts w:ascii="Arial" w:eastAsiaTheme="minorHAnsi" w:hAnsi="Arial" w:cs="Arial"/>
          <w:color w:val="555555"/>
          <w:sz w:val="21"/>
          <w:szCs w:val="21"/>
        </w:rPr>
        <w:t>naio</w:t>
      </w:r>
      <w:r w:rsidR="00AE2BB1" w:rsidRPr="00CC50C7">
        <w:rPr>
          <w:rFonts w:ascii="Arial" w:eastAsiaTheme="minorHAnsi" w:hAnsi="Arial" w:cs="Arial"/>
          <w:color w:val="555555"/>
          <w:sz w:val="21"/>
          <w:szCs w:val="21"/>
        </w:rPr>
        <w:t>-giu</w:t>
      </w:r>
      <w:r w:rsidR="007E67C2" w:rsidRPr="00CC50C7">
        <w:rPr>
          <w:rFonts w:ascii="Arial" w:eastAsiaTheme="minorHAnsi" w:hAnsi="Arial" w:cs="Arial"/>
          <w:color w:val="555555"/>
          <w:sz w:val="21"/>
          <w:szCs w:val="21"/>
        </w:rPr>
        <w:t>gno</w:t>
      </w:r>
      <w:r w:rsidR="00AE2BB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202</w:t>
      </w:r>
      <w:r w:rsidR="009C59D8"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).</w:t>
      </w:r>
    </w:p>
    <w:p w14:paraId="23F6C117" w14:textId="367C6978" w:rsidR="009F7216" w:rsidRPr="00CC50C7" w:rsidRDefault="009C59D8" w:rsidP="00B94A77">
      <w:pPr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Le esportazioni 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di </w:t>
      </w:r>
      <w:r w:rsidR="00CC50C7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Legno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del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la </w:t>
      </w:r>
      <w:r w:rsidR="00166F06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Lombardia</w:t>
      </w:r>
      <w:r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FC167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prima regione 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per valore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FC167F" w:rsidRPr="00CC50C7">
        <w:rPr>
          <w:rFonts w:ascii="Arial" w:eastAsiaTheme="minorHAnsi" w:hAnsi="Arial" w:cs="Arial"/>
          <w:color w:val="555555"/>
          <w:sz w:val="21"/>
          <w:szCs w:val="21"/>
        </w:rPr>
        <w:t>con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326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 euro</w:t>
      </w:r>
      <w:r w:rsidR="00DC65F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nel 1° semestre 202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DC65F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diminuiscono del 3,7</w:t>
      </w:r>
      <w:proofErr w:type="gramStart"/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085DE3" w:rsidRPr="00CC50C7">
        <w:rPr>
          <w:rFonts w:ascii="Arial" w:eastAsiaTheme="minorHAnsi" w:hAnsi="Arial" w:cs="Arial"/>
          <w:color w:val="555555"/>
          <w:sz w:val="21"/>
          <w:szCs w:val="21"/>
        </w:rPr>
        <w:t>sullo</w:t>
      </w:r>
      <w:proofErr w:type="gramEnd"/>
      <w:r w:rsidR="00085DE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stesso periodo 202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78472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mentre quelle del </w:t>
      </w:r>
      <w:r w:rsidR="00166F06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Veneto</w:t>
      </w:r>
      <w:r w:rsidR="0078472E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 xml:space="preserve">, </w:t>
      </w:r>
      <w:r w:rsidR="0078472E" w:rsidRPr="00CC50C7">
        <w:rPr>
          <w:rFonts w:ascii="Arial" w:eastAsiaTheme="minorHAnsi" w:hAnsi="Arial" w:cs="Arial"/>
          <w:color w:val="555555"/>
          <w:sz w:val="21"/>
          <w:szCs w:val="21"/>
        </w:rPr>
        <w:t>pari</w:t>
      </w:r>
      <w:r w:rsidR="0078472E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 xml:space="preserve"> </w:t>
      </w:r>
      <w:r w:rsidR="0078472E" w:rsidRPr="00CC50C7">
        <w:rPr>
          <w:rFonts w:ascii="Arial" w:eastAsiaTheme="minorHAnsi" w:hAnsi="Arial" w:cs="Arial"/>
          <w:color w:val="555555"/>
          <w:sz w:val="21"/>
          <w:szCs w:val="21"/>
        </w:rPr>
        <w:t>a 246</w:t>
      </w:r>
      <w:r w:rsidR="00166F0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 euro</w:t>
      </w:r>
      <w:r w:rsidR="00765C94" w:rsidRPr="00CC50C7">
        <w:rPr>
          <w:rFonts w:ascii="Arial" w:eastAsiaTheme="minorHAnsi" w:hAnsi="Arial" w:cs="Arial"/>
          <w:color w:val="555555"/>
          <w:sz w:val="21"/>
          <w:szCs w:val="21"/>
        </w:rPr>
        <w:t>, cresc</w:t>
      </w:r>
      <w:r w:rsidR="0078472E" w:rsidRPr="00CC50C7">
        <w:rPr>
          <w:rFonts w:ascii="Arial" w:eastAsiaTheme="minorHAnsi" w:hAnsi="Arial" w:cs="Arial"/>
          <w:color w:val="555555"/>
          <w:sz w:val="21"/>
          <w:szCs w:val="21"/>
        </w:rPr>
        <w:t>ono del 10,8</w:t>
      </w:r>
      <w:r w:rsidR="00DC65F4" w:rsidRPr="00CC50C7">
        <w:rPr>
          <w:rFonts w:ascii="Arial" w:eastAsiaTheme="minorHAnsi" w:hAnsi="Arial" w:cs="Arial"/>
          <w:color w:val="555555"/>
          <w:sz w:val="21"/>
          <w:szCs w:val="21"/>
        </w:rPr>
        <w:t>%.</w:t>
      </w:r>
    </w:p>
    <w:p w14:paraId="6C02B077" w14:textId="0B0F4540" w:rsidR="00FC167F" w:rsidRPr="00CC50C7" w:rsidRDefault="00166F06" w:rsidP="00B94A77">
      <w:pPr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La Lombardia esporta principalmente prodotti in Legno (3</w:t>
      </w:r>
      <w:r w:rsidR="0068512C" w:rsidRPr="00CC50C7">
        <w:rPr>
          <w:rFonts w:ascii="Arial" w:eastAsiaTheme="minorHAnsi" w:hAnsi="Arial" w:cs="Arial"/>
          <w:color w:val="555555"/>
          <w:sz w:val="21"/>
          <w:szCs w:val="21"/>
        </w:rPr>
        <w:t>06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 euro ne</w:t>
      </w:r>
      <w:r w:rsidR="00D816BC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l </w:t>
      </w:r>
      <w:proofErr w:type="gramStart"/>
      <w:r w:rsidR="00D816BC" w:rsidRPr="00CC50C7">
        <w:rPr>
          <w:rFonts w:ascii="Arial" w:eastAsiaTheme="minorHAnsi" w:hAnsi="Arial" w:cs="Arial"/>
          <w:color w:val="555555"/>
          <w:sz w:val="21"/>
          <w:szCs w:val="21"/>
        </w:rPr>
        <w:t>1°</w:t>
      </w:r>
      <w:proofErr w:type="gramEnd"/>
      <w:r w:rsidR="00D816BC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se</w:t>
      </w:r>
      <w:r w:rsidR="00D816BC" w:rsidRPr="00CC50C7">
        <w:rPr>
          <w:rFonts w:ascii="Arial" w:eastAsiaTheme="minorHAnsi" w:hAnsi="Arial" w:cs="Arial"/>
          <w:color w:val="555555"/>
          <w:sz w:val="21"/>
          <w:szCs w:val="21"/>
        </w:rPr>
        <w:t>mestre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202</w:t>
      </w:r>
      <w:r w:rsidR="0068512C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DC65F4" w:rsidRPr="00CC50C7">
        <w:rPr>
          <w:rFonts w:ascii="Arial" w:eastAsiaTheme="minorHAnsi" w:hAnsi="Arial" w:cs="Arial"/>
          <w:color w:val="555555"/>
          <w:sz w:val="21"/>
          <w:szCs w:val="21"/>
        </w:rPr>
        <w:t>; -3</w:t>
      </w:r>
      <w:r w:rsidR="001C3373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68512C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DC65F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%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rispetto gen</w:t>
      </w:r>
      <w:r w:rsidR="00D816BC" w:rsidRPr="00CC50C7">
        <w:rPr>
          <w:rFonts w:ascii="Arial" w:eastAsiaTheme="minorHAnsi" w:hAnsi="Arial" w:cs="Arial"/>
          <w:color w:val="555555"/>
          <w:sz w:val="21"/>
          <w:szCs w:val="21"/>
        </w:rPr>
        <w:t>naio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-giu</w:t>
      </w:r>
      <w:r w:rsidR="00D816BC" w:rsidRPr="00CC50C7">
        <w:rPr>
          <w:rFonts w:ascii="Arial" w:eastAsiaTheme="minorHAnsi" w:hAnsi="Arial" w:cs="Arial"/>
          <w:color w:val="555555"/>
          <w:sz w:val="21"/>
          <w:szCs w:val="21"/>
        </w:rPr>
        <w:t>gno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202</w:t>
      </w:r>
      <w:r w:rsidR="0068512C"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0C3A88" w:rsidRPr="00CC50C7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68512C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verso Germania (-11,5%), Francia (-3,4%) e </w:t>
      </w:r>
      <w:r w:rsidR="001C3373" w:rsidRPr="00CC50C7">
        <w:rPr>
          <w:rFonts w:ascii="Arial" w:eastAsiaTheme="minorHAnsi" w:hAnsi="Arial" w:cs="Arial"/>
          <w:color w:val="555555"/>
          <w:sz w:val="21"/>
          <w:szCs w:val="21"/>
        </w:rPr>
        <w:t>Stati Uniti</w:t>
      </w:r>
      <w:r w:rsidR="000C3A88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</w:t>
      </w:r>
      <w:r w:rsidR="0068512C" w:rsidRPr="00CC50C7">
        <w:rPr>
          <w:rFonts w:ascii="Arial" w:eastAsiaTheme="minorHAnsi" w:hAnsi="Arial" w:cs="Arial"/>
          <w:color w:val="555555"/>
          <w:sz w:val="21"/>
          <w:szCs w:val="21"/>
        </w:rPr>
        <w:t>-7,3</w:t>
      </w:r>
      <w:r w:rsidR="000C3A88" w:rsidRPr="00CC50C7">
        <w:rPr>
          <w:rFonts w:ascii="Arial" w:eastAsiaTheme="minorHAnsi" w:hAnsi="Arial" w:cs="Arial"/>
          <w:color w:val="555555"/>
          <w:sz w:val="21"/>
          <w:szCs w:val="21"/>
        </w:rPr>
        <w:t>%)</w:t>
      </w:r>
      <w:r w:rsidR="00FC167F" w:rsidRPr="00F95F09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68512C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F95F09">
        <w:rPr>
          <w:rFonts w:ascii="Arial" w:eastAsiaTheme="minorHAnsi" w:hAnsi="Arial" w:cs="Arial"/>
          <w:color w:val="555555"/>
          <w:sz w:val="21"/>
          <w:szCs w:val="21"/>
        </w:rPr>
        <w:t>mentre il Veneto</w:t>
      </w:r>
      <w:r w:rsidR="000C3A88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D816BC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è </w:t>
      </w:r>
      <w:r w:rsidRPr="00F95F09">
        <w:rPr>
          <w:rFonts w:ascii="Arial" w:eastAsiaTheme="minorHAnsi" w:hAnsi="Arial" w:cs="Arial"/>
          <w:color w:val="555555"/>
          <w:sz w:val="21"/>
          <w:szCs w:val="21"/>
        </w:rPr>
        <w:t>la regione che esporta più materie prime (</w:t>
      </w:r>
      <w:r w:rsidR="00C24F91" w:rsidRPr="00F95F09">
        <w:rPr>
          <w:rFonts w:ascii="Arial" w:eastAsiaTheme="minorHAnsi" w:hAnsi="Arial" w:cs="Arial"/>
          <w:color w:val="555555"/>
          <w:sz w:val="21"/>
          <w:szCs w:val="21"/>
        </w:rPr>
        <w:t>7</w:t>
      </w:r>
      <w:r w:rsidR="0068512C" w:rsidRPr="00F95F09">
        <w:rPr>
          <w:rFonts w:ascii="Arial" w:eastAsiaTheme="minorHAnsi" w:hAnsi="Arial" w:cs="Arial"/>
          <w:color w:val="555555"/>
          <w:sz w:val="21"/>
          <w:szCs w:val="21"/>
        </w:rPr>
        <w:t>9</w:t>
      </w:r>
      <w:r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 milioni di euro</w:t>
      </w:r>
      <w:r w:rsidR="00D816BC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 nel 1° semestre 202</w:t>
      </w:r>
      <w:r w:rsidR="0068512C" w:rsidRPr="00F95F09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D816BC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; </w:t>
      </w:r>
      <w:r w:rsidR="00243503" w:rsidRPr="00F95F09">
        <w:rPr>
          <w:rFonts w:ascii="Arial" w:eastAsiaTheme="minorHAnsi" w:hAnsi="Arial" w:cs="Arial"/>
          <w:color w:val="555555"/>
          <w:sz w:val="21"/>
          <w:szCs w:val="21"/>
        </w:rPr>
        <w:t>+6,7</w:t>
      </w:r>
      <w:r w:rsidR="00D816BC" w:rsidRPr="00F95F09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0B4F73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 la variazione</w:t>
      </w:r>
      <w:r w:rsidR="00D816BC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 su gennaio-giugno 202</w:t>
      </w:r>
      <w:r w:rsidR="00243503" w:rsidRPr="00F95F09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0C3A88" w:rsidRPr="00F95F09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="000B4F73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F95F09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con il </w:t>
      </w:r>
      <w:r w:rsidR="000C3A88" w:rsidRPr="00F95F09">
        <w:rPr>
          <w:rFonts w:ascii="Arial" w:eastAsiaTheme="minorHAnsi" w:hAnsi="Arial" w:cs="Arial"/>
          <w:color w:val="555555"/>
          <w:sz w:val="21"/>
          <w:szCs w:val="21"/>
        </w:rPr>
        <w:t>Re</w:t>
      </w:r>
      <w:r w:rsidRPr="00F95F09">
        <w:rPr>
          <w:rFonts w:ascii="Arial" w:eastAsiaTheme="minorHAnsi" w:hAnsi="Arial" w:cs="Arial"/>
          <w:color w:val="555555"/>
          <w:sz w:val="21"/>
          <w:szCs w:val="21"/>
        </w:rPr>
        <w:t>gno Unito</w:t>
      </w:r>
      <w:r w:rsidR="00F95F09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 come</w:t>
      </w:r>
      <w:r w:rsidR="000B4F73"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 prima destinazione</w:t>
      </w:r>
      <w:r w:rsidRPr="00F95F09">
        <w:rPr>
          <w:rFonts w:ascii="Arial" w:eastAsiaTheme="minorHAnsi" w:hAnsi="Arial" w:cs="Arial"/>
          <w:color w:val="555555"/>
          <w:sz w:val="21"/>
          <w:szCs w:val="21"/>
        </w:rPr>
        <w:t xml:space="preserve">. </w:t>
      </w:r>
    </w:p>
    <w:p w14:paraId="3F1CC9A6" w14:textId="087B2F46" w:rsidR="002017CA" w:rsidRPr="00CC50C7" w:rsidRDefault="00166F06" w:rsidP="00B94A77">
      <w:pPr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Tr</w:t>
      </w:r>
      <w:r w:rsidR="002A46FF" w:rsidRPr="00CC50C7">
        <w:rPr>
          <w:rFonts w:ascii="Arial" w:eastAsiaTheme="minorHAnsi" w:hAnsi="Arial" w:cs="Arial"/>
          <w:color w:val="555555"/>
          <w:sz w:val="21"/>
          <w:szCs w:val="21"/>
        </w:rPr>
        <w:t>a le province</w:t>
      </w:r>
      <w:r w:rsidR="00FC167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italiane</w:t>
      </w:r>
      <w:r w:rsidR="002A46FF" w:rsidRPr="00CC50C7">
        <w:rPr>
          <w:rFonts w:ascii="Arial" w:eastAsiaTheme="minorHAnsi" w:hAnsi="Arial" w:cs="Arial"/>
          <w:color w:val="555555"/>
          <w:sz w:val="21"/>
          <w:szCs w:val="21"/>
        </w:rPr>
        <w:t>, Tr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eviso è </w:t>
      </w:r>
      <w:r w:rsidR="00FC167F" w:rsidRPr="00CC50C7">
        <w:rPr>
          <w:rFonts w:ascii="Arial" w:eastAsiaTheme="minorHAnsi" w:hAnsi="Arial" w:cs="Arial"/>
          <w:color w:val="555555"/>
          <w:sz w:val="21"/>
          <w:szCs w:val="21"/>
        </w:rPr>
        <w:t>la prima per esportazioni anche di Legno.</w:t>
      </w:r>
    </w:p>
    <w:p w14:paraId="3DD43FD9" w14:textId="6F9689F8" w:rsidR="009F7216" w:rsidRPr="00CC50C7" w:rsidRDefault="009F7216">
      <w:pPr>
        <w:spacing w:after="200" w:line="276" w:lineRule="auto"/>
      </w:pPr>
    </w:p>
    <w:p w14:paraId="5736768B" w14:textId="6357F412" w:rsidR="002017CA" w:rsidRPr="00CC50C7" w:rsidRDefault="000A58C9">
      <w:pPr>
        <w:rPr>
          <w:rStyle w:val="Enfasigrassetto"/>
          <w:rFonts w:ascii="Arial" w:eastAsiaTheme="minorHAnsi" w:hAnsi="Arial" w:cs="Arial"/>
          <w:color w:val="143F6A"/>
          <w:sz w:val="36"/>
          <w:szCs w:val="36"/>
        </w:rPr>
      </w:pPr>
      <w:r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FILIERA LEGNO-ARREDO</w:t>
      </w:r>
      <w:r w:rsidR="002017CA" w:rsidRPr="00CC50C7">
        <w:rPr>
          <w:rFonts w:ascii="Arial" w:eastAsiaTheme="minorHAnsi" w:hAnsi="Arial" w:cs="Arial"/>
          <w:b/>
          <w:bCs/>
          <w:color w:val="143F6A"/>
        </w:rPr>
        <w:br/>
      </w:r>
      <w:r w:rsidR="002017CA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 xml:space="preserve">L’import delle regioni italiane nel </w:t>
      </w:r>
      <w:proofErr w:type="gramStart"/>
      <w:r w:rsidR="002017CA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1</w:t>
      </w:r>
      <w:r w:rsidR="00424D53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°</w:t>
      </w:r>
      <w:proofErr w:type="gramEnd"/>
      <w:r w:rsidR="002017CA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 xml:space="preserve"> </w:t>
      </w:r>
      <w:r w:rsidR="008E4649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se</w:t>
      </w:r>
      <w:r w:rsidR="002017CA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m</w:t>
      </w:r>
      <w:r w:rsidR="00166F06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estre</w:t>
      </w:r>
      <w:r w:rsidR="002017CA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 xml:space="preserve"> 20</w:t>
      </w:r>
      <w:r w:rsidR="00CD65CE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2</w:t>
      </w:r>
      <w:r w:rsidR="00933A40" w:rsidRPr="00CC50C7">
        <w:rPr>
          <w:rStyle w:val="Enfasigrassetto"/>
          <w:rFonts w:ascii="Arial" w:eastAsiaTheme="minorHAnsi" w:hAnsi="Arial" w:cs="Arial"/>
          <w:color w:val="143F6A"/>
          <w:sz w:val="36"/>
          <w:szCs w:val="36"/>
        </w:rPr>
        <w:t>5</w:t>
      </w:r>
    </w:p>
    <w:p w14:paraId="243F41A3" w14:textId="77777777" w:rsidR="009F7216" w:rsidRPr="00CC50C7" w:rsidRDefault="009F7216" w:rsidP="00601483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</w:p>
    <w:p w14:paraId="6EE7021E" w14:textId="0762C3F7" w:rsidR="00A92199" w:rsidRPr="00CC50C7" w:rsidRDefault="00E5459A" w:rsidP="00601483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Nei primi sei mesi del 202</w:t>
      </w:r>
      <w:r w:rsidR="00CB7CC3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le importazioni di Legno-Arredo </w:t>
      </w:r>
      <w:r w:rsidR="00CB7CC3" w:rsidRPr="00CC50C7">
        <w:rPr>
          <w:rFonts w:ascii="Arial" w:eastAsiaTheme="minorHAnsi" w:hAnsi="Arial" w:cs="Arial"/>
          <w:color w:val="555555"/>
          <w:sz w:val="21"/>
          <w:szCs w:val="21"/>
        </w:rPr>
        <w:t>aumentano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in tutte le regioni italiane </w:t>
      </w:r>
      <w:proofErr w:type="gramStart"/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eccetto  </w:t>
      </w:r>
      <w:r w:rsidR="00933A40" w:rsidRPr="00CC50C7">
        <w:rPr>
          <w:rFonts w:ascii="Arial" w:eastAsiaTheme="minorHAnsi" w:hAnsi="Arial" w:cs="Arial"/>
          <w:color w:val="555555"/>
          <w:sz w:val="21"/>
          <w:szCs w:val="21"/>
        </w:rPr>
        <w:t>Piemonte</w:t>
      </w:r>
      <w:proofErr w:type="gramEnd"/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</w:t>
      </w:r>
      <w:r w:rsidR="00933A40" w:rsidRPr="00CC50C7">
        <w:rPr>
          <w:rFonts w:ascii="Arial" w:eastAsiaTheme="minorHAnsi" w:hAnsi="Arial" w:cs="Arial"/>
          <w:color w:val="555555"/>
          <w:sz w:val="21"/>
          <w:szCs w:val="21"/>
        </w:rPr>
        <w:t>-4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%)</w:t>
      </w:r>
      <w:r w:rsidR="00A6645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Abruzzo (-7,4%), </w:t>
      </w:r>
      <w:r w:rsidR="00933A40" w:rsidRPr="00CC50C7">
        <w:rPr>
          <w:rFonts w:ascii="Arial" w:eastAsiaTheme="minorHAnsi" w:hAnsi="Arial" w:cs="Arial"/>
          <w:color w:val="555555"/>
          <w:sz w:val="21"/>
          <w:szCs w:val="21"/>
        </w:rPr>
        <w:t>Basilicata</w:t>
      </w:r>
      <w:r w:rsidR="00A6645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</w:t>
      </w:r>
      <w:r w:rsidR="00933A40" w:rsidRPr="00CC50C7">
        <w:rPr>
          <w:rFonts w:ascii="Arial" w:eastAsiaTheme="minorHAnsi" w:hAnsi="Arial" w:cs="Arial"/>
          <w:color w:val="555555"/>
          <w:sz w:val="21"/>
          <w:szCs w:val="21"/>
        </w:rPr>
        <w:t>-31,3</w:t>
      </w:r>
      <w:r w:rsidR="00A6645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%), 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>Sardegna (-2,7%)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e </w:t>
      </w:r>
      <w:r w:rsidR="00933A40" w:rsidRPr="00CC50C7">
        <w:rPr>
          <w:rFonts w:ascii="Arial" w:eastAsiaTheme="minorHAnsi" w:hAnsi="Arial" w:cs="Arial"/>
          <w:color w:val="555555"/>
          <w:sz w:val="21"/>
          <w:szCs w:val="21"/>
        </w:rPr>
        <w:t>Valle d’Aosta (-14,2%)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. </w:t>
      </w:r>
      <w:r w:rsidR="00A6645E" w:rsidRPr="00CC50C7">
        <w:rPr>
          <w:rFonts w:ascii="Arial" w:eastAsiaTheme="minorHAnsi" w:hAnsi="Arial" w:cs="Arial"/>
          <w:color w:val="555555"/>
          <w:sz w:val="21"/>
          <w:szCs w:val="21"/>
        </w:rPr>
        <w:t>La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FB1319" w:rsidRPr="00CC50C7">
        <w:rPr>
          <w:rFonts w:ascii="Arial" w:eastAsiaTheme="minorHAnsi" w:hAnsi="Arial" w:cs="Arial"/>
          <w:color w:val="555555"/>
          <w:sz w:val="21"/>
          <w:szCs w:val="21"/>
        </w:rPr>
        <w:t>Cina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6E4B48" w:rsidRPr="00CC50C7">
        <w:rPr>
          <w:rFonts w:ascii="Arial" w:eastAsiaTheme="minorHAnsi" w:hAnsi="Arial" w:cs="Arial"/>
          <w:color w:val="555555"/>
          <w:sz w:val="21"/>
          <w:szCs w:val="21"/>
        </w:rPr>
        <w:t>si conferma il</w:t>
      </w:r>
      <w:r w:rsidR="00FB131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principal</w:t>
      </w:r>
      <w:r w:rsidR="006E4B48" w:rsidRPr="00CC50C7">
        <w:rPr>
          <w:rFonts w:ascii="Arial" w:eastAsiaTheme="minorHAnsi" w:hAnsi="Arial" w:cs="Arial"/>
          <w:color w:val="555555"/>
          <w:sz w:val="21"/>
          <w:szCs w:val="21"/>
        </w:rPr>
        <w:t>e</w:t>
      </w:r>
      <w:r w:rsidR="00FB131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fornitor</w:t>
      </w:r>
      <w:r w:rsidR="006E4B48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e per la maggior parte delle regioni. Seguono 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>l’</w:t>
      </w:r>
      <w:r w:rsidR="006E4B48" w:rsidRPr="00CC50C7">
        <w:rPr>
          <w:rFonts w:ascii="Arial" w:eastAsiaTheme="minorHAnsi" w:hAnsi="Arial" w:cs="Arial"/>
          <w:color w:val="555555"/>
          <w:sz w:val="21"/>
          <w:szCs w:val="21"/>
        </w:rPr>
        <w:t>Austria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in particolare 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lastRenderedPageBreak/>
        <w:t>per Trentino-Alto Adige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e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Friuli-Venezia Giulia 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per i quali rappresenta il primo fornitore, </w:t>
      </w:r>
      <w:r w:rsidR="006E4B48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e 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la </w:t>
      </w:r>
      <w:r w:rsidR="006E4B48" w:rsidRPr="00CC50C7">
        <w:rPr>
          <w:rFonts w:ascii="Arial" w:eastAsiaTheme="minorHAnsi" w:hAnsi="Arial" w:cs="Arial"/>
          <w:color w:val="555555"/>
          <w:sz w:val="21"/>
          <w:szCs w:val="21"/>
        </w:rPr>
        <w:t>Germania</w:t>
      </w:r>
      <w:r w:rsidR="00FB131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>soprattutto per il Veneto.</w:t>
      </w:r>
    </w:p>
    <w:p w14:paraId="45D7DAA1" w14:textId="0F355942" w:rsidR="00115423" w:rsidRPr="00CC50C7" w:rsidRDefault="006A3099" w:rsidP="00601483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A livello di Filiera </w:t>
      </w:r>
      <w:r w:rsidR="00417937" w:rsidRPr="00CC50C7">
        <w:rPr>
          <w:rFonts w:ascii="Arial" w:eastAsiaTheme="minorHAnsi" w:hAnsi="Arial" w:cs="Arial"/>
          <w:color w:val="555555"/>
          <w:sz w:val="21"/>
          <w:szCs w:val="21"/>
        </w:rPr>
        <w:t>L-A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41793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l</w:t>
      </w:r>
      <w:r w:rsidR="000645F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a </w:t>
      </w:r>
      <w:r w:rsidR="000645FD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Lombardia</w:t>
      </w:r>
      <w:r w:rsidR="000645F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E5459A" w:rsidRPr="00CC50C7">
        <w:rPr>
          <w:rFonts w:ascii="Arial" w:eastAsiaTheme="minorHAnsi" w:hAnsi="Arial" w:cs="Arial"/>
          <w:color w:val="555555"/>
          <w:sz w:val="21"/>
          <w:szCs w:val="21"/>
        </w:rPr>
        <w:t>è la regione che</w:t>
      </w:r>
      <w:r w:rsidR="000645F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impo</w:t>
      </w:r>
      <w:r w:rsidR="00F95CDF" w:rsidRPr="00CC50C7">
        <w:rPr>
          <w:rFonts w:ascii="Arial" w:eastAsiaTheme="minorHAnsi" w:hAnsi="Arial" w:cs="Arial"/>
          <w:color w:val="555555"/>
          <w:sz w:val="21"/>
          <w:szCs w:val="21"/>
        </w:rPr>
        <w:t>rta</w:t>
      </w:r>
      <w:r w:rsidR="00C91CA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di più:</w:t>
      </w:r>
      <w:r w:rsidR="00F95CD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>circa</w:t>
      </w:r>
      <w:r w:rsidR="00FB131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1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>,2</w:t>
      </w:r>
      <w:r w:rsidR="00FB131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miliard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>i</w:t>
      </w:r>
      <w:r w:rsidR="00FB131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di euro</w:t>
      </w:r>
      <w:r w:rsidR="00DE4F3C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nei primi sei mesi del 202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con una crescita del 6,2</w:t>
      </w:r>
      <w:r w:rsidR="00115423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rispetto a gennaio-giugno 2024</w:t>
      </w:r>
      <w:r w:rsidR="00115423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</w:p>
    <w:p w14:paraId="01368A14" w14:textId="0CADE351" w:rsidR="00A92199" w:rsidRPr="00CC50C7" w:rsidRDefault="00417937" w:rsidP="00601483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S</w:t>
      </w:r>
      <w:r w:rsidR="009F3534" w:rsidRPr="00CC50C7">
        <w:rPr>
          <w:rFonts w:ascii="Arial" w:eastAsiaTheme="minorHAnsi" w:hAnsi="Arial" w:cs="Arial"/>
          <w:color w:val="555555"/>
          <w:sz w:val="21"/>
          <w:szCs w:val="21"/>
        </w:rPr>
        <w:t>egu</w:t>
      </w:r>
      <w:r w:rsidR="004E754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ono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il</w:t>
      </w:r>
      <w:r w:rsidR="009F353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9F3534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Veneto</w:t>
      </w:r>
      <w:r w:rsidR="004340CA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,</w:t>
      </w:r>
      <w:r w:rsidR="001F4CA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con </w:t>
      </w:r>
      <w:r w:rsidR="00094BFC" w:rsidRPr="00CC50C7">
        <w:rPr>
          <w:rFonts w:ascii="Arial" w:eastAsiaTheme="minorHAnsi" w:hAnsi="Arial" w:cs="Arial"/>
          <w:color w:val="555555"/>
          <w:sz w:val="21"/>
          <w:szCs w:val="21"/>
        </w:rPr>
        <w:t>844</w:t>
      </w:r>
      <w:r w:rsidR="001F4CA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 euro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importati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e l’</w:t>
      </w:r>
      <w:r w:rsidR="009F3534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Emilia-Romagna</w:t>
      </w:r>
      <w:r w:rsidR="001F4CA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(5</w:t>
      </w:r>
      <w:r w:rsidR="00094BFC" w:rsidRPr="00CC50C7">
        <w:rPr>
          <w:rFonts w:ascii="Arial" w:eastAsiaTheme="minorHAnsi" w:hAnsi="Arial" w:cs="Arial"/>
          <w:color w:val="555555"/>
          <w:sz w:val="21"/>
          <w:szCs w:val="21"/>
        </w:rPr>
        <w:t>88</w:t>
      </w:r>
      <w:r w:rsidR="001F4CA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 euro</w:t>
      </w:r>
      <w:r w:rsidR="00094BFC" w:rsidRPr="00CC50C7">
        <w:rPr>
          <w:rFonts w:ascii="Arial" w:eastAsiaTheme="minorHAnsi" w:hAnsi="Arial" w:cs="Arial"/>
          <w:color w:val="555555"/>
          <w:sz w:val="21"/>
          <w:szCs w:val="21"/>
        </w:rPr>
        <w:t>) entrambi a +6,3</w:t>
      </w:r>
      <w:r w:rsidR="001F4CA0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E5124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sullo stesso periodo 202</w:t>
      </w:r>
      <w:r w:rsidR="00094BFC"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1F4CA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. </w:t>
      </w:r>
    </w:p>
    <w:p w14:paraId="0079FC82" w14:textId="05F63F98" w:rsidR="009F3534" w:rsidRPr="00CC50C7" w:rsidRDefault="00094BFC" w:rsidP="00601483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A livello di provincia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Milano assorbe il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9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>% de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l 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valore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total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>e importato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(451 milioni di euro, +6,8% su gennaio-giugno 2024)</w:t>
      </w:r>
      <w:r w:rsidR="001E214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seguita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da </w:t>
      </w:r>
      <w:r w:rsidR="00E64369" w:rsidRPr="00CC50C7">
        <w:rPr>
          <w:rFonts w:ascii="Arial" w:eastAsiaTheme="minorHAnsi" w:hAnsi="Arial" w:cs="Arial"/>
          <w:color w:val="555555"/>
          <w:sz w:val="21"/>
          <w:szCs w:val="21"/>
        </w:rPr>
        <w:t>Treviso (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310</w:t>
      </w:r>
      <w:r w:rsidR="004E379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+4,6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E64369" w:rsidRPr="00CC50C7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="00BF2EDE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E6436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Bolzano (</w:t>
      </w:r>
      <w:r w:rsidR="004E3799" w:rsidRPr="00CC50C7">
        <w:rPr>
          <w:rFonts w:ascii="Arial" w:eastAsiaTheme="minorHAnsi" w:hAnsi="Arial" w:cs="Arial"/>
          <w:color w:val="555555"/>
          <w:sz w:val="21"/>
          <w:szCs w:val="21"/>
        </w:rPr>
        <w:t>2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54</w:t>
      </w:r>
      <w:r w:rsidR="004E379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+</w:t>
      </w:r>
      <w:r w:rsidR="00BF2EDE" w:rsidRPr="00CC50C7">
        <w:rPr>
          <w:rFonts w:ascii="Arial" w:eastAsiaTheme="minorHAnsi" w:hAnsi="Arial" w:cs="Arial"/>
          <w:color w:val="555555"/>
          <w:sz w:val="21"/>
          <w:szCs w:val="21"/>
        </w:rPr>
        <w:t>6,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2</w:t>
      </w:r>
      <w:r w:rsidR="00115423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E64369" w:rsidRPr="00CC50C7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="00BF2ED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e Piacenza (2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22</w:t>
      </w:r>
      <w:r w:rsidR="00BF2EDE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proofErr w:type="gramStart"/>
      <w:r w:rsidR="00BF2EDE" w:rsidRPr="00CC50C7">
        <w:rPr>
          <w:rFonts w:ascii="Arial" w:eastAsiaTheme="minorHAnsi" w:hAnsi="Arial" w:cs="Arial"/>
          <w:color w:val="555555"/>
          <w:sz w:val="21"/>
          <w:szCs w:val="21"/>
        </w:rPr>
        <w:t>milion</w:t>
      </w:r>
      <w:r w:rsidR="00BF4EE6" w:rsidRPr="00CC50C7">
        <w:rPr>
          <w:rFonts w:ascii="Arial" w:eastAsiaTheme="minorHAnsi" w:hAnsi="Arial" w:cs="Arial"/>
          <w:color w:val="555555"/>
          <w:sz w:val="21"/>
          <w:szCs w:val="21"/>
        </w:rPr>
        <w:t>i,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+</w:t>
      </w:r>
      <w:proofErr w:type="gramEnd"/>
      <w:r w:rsidRPr="00CC50C7">
        <w:rPr>
          <w:rFonts w:ascii="Arial" w:eastAsiaTheme="minorHAnsi" w:hAnsi="Arial" w:cs="Arial"/>
          <w:color w:val="555555"/>
          <w:sz w:val="21"/>
          <w:szCs w:val="21"/>
        </w:rPr>
        <w:t>3,6</w:t>
      </w:r>
      <w:r w:rsidR="00BF2EDE" w:rsidRPr="00CC50C7">
        <w:rPr>
          <w:rFonts w:ascii="Arial" w:eastAsiaTheme="minorHAnsi" w:hAnsi="Arial" w:cs="Arial"/>
          <w:color w:val="555555"/>
          <w:sz w:val="21"/>
          <w:szCs w:val="21"/>
        </w:rPr>
        <w:t>%).</w:t>
      </w:r>
      <w:r w:rsidR="004E379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</w:p>
    <w:p w14:paraId="4D090891" w14:textId="4E397971" w:rsidR="006463AA" w:rsidRPr="00CC50C7" w:rsidRDefault="009F3534" w:rsidP="00601483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b/>
          <w:bCs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A livello di comparti si importa soprattutto Legno</w:t>
      </w:r>
      <w:r w:rsidR="004705A4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  <w:r w:rsidR="004705A4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 xml:space="preserve"> </w:t>
      </w:r>
    </w:p>
    <w:p w14:paraId="25F50927" w14:textId="378B4121" w:rsidR="00C84535" w:rsidRPr="00CC50C7" w:rsidRDefault="004705A4" w:rsidP="00601483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Il</w:t>
      </w:r>
      <w:r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 xml:space="preserve"> Veneto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è al primo posto per importazioni 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in valore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di prodotti in legno: 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>3</w:t>
      </w:r>
      <w:r w:rsidR="002A5086" w:rsidRPr="00CC50C7">
        <w:rPr>
          <w:rFonts w:ascii="Arial" w:eastAsiaTheme="minorHAnsi" w:hAnsi="Arial" w:cs="Arial"/>
          <w:color w:val="555555"/>
          <w:sz w:val="21"/>
          <w:szCs w:val="21"/>
        </w:rPr>
        <w:t>67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color w:val="555555"/>
          <w:sz w:val="21"/>
          <w:szCs w:val="21"/>
        </w:rPr>
        <w:t>milioni di euro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nel </w:t>
      </w:r>
      <w:proofErr w:type="gramStart"/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>1°</w:t>
      </w:r>
      <w:proofErr w:type="gramEnd"/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semestre 202</w:t>
      </w:r>
      <w:r w:rsidR="002A5086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</w:t>
      </w:r>
      <w:r w:rsidR="002A5086" w:rsidRPr="00CC50C7">
        <w:rPr>
          <w:rFonts w:ascii="Arial" w:eastAsiaTheme="minorHAnsi" w:hAnsi="Arial" w:cs="Arial"/>
          <w:color w:val="555555"/>
          <w:sz w:val="21"/>
          <w:szCs w:val="21"/>
        </w:rPr>
        <w:t>+3,9%</w:t>
      </w:r>
      <w:r w:rsidR="0050041F" w:rsidRPr="00CC50C7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50041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con Germania e </w:t>
      </w:r>
      <w:r w:rsidR="002A5086" w:rsidRPr="00CC50C7">
        <w:rPr>
          <w:rFonts w:ascii="Arial" w:eastAsiaTheme="minorHAnsi" w:hAnsi="Arial" w:cs="Arial"/>
          <w:color w:val="555555"/>
          <w:sz w:val="21"/>
          <w:szCs w:val="21"/>
        </w:rPr>
        <w:t>Austri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>a primi fornitori</w:t>
      </w:r>
      <w:r w:rsidR="0050041F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mentre l</w:t>
      </w:r>
      <w:r w:rsidR="00CE5688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a </w:t>
      </w:r>
      <w:r w:rsidR="00CE5688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Lombardia</w:t>
      </w:r>
      <w:r w:rsidR="00CE5688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importa soprattutto materie prime (1</w:t>
      </w:r>
      <w:r w:rsidR="002A5086" w:rsidRPr="00CC50C7">
        <w:rPr>
          <w:rFonts w:ascii="Arial" w:eastAsiaTheme="minorHAnsi" w:hAnsi="Arial" w:cs="Arial"/>
          <w:color w:val="555555"/>
          <w:sz w:val="21"/>
          <w:szCs w:val="21"/>
        </w:rPr>
        <w:t>90</w:t>
      </w:r>
      <w:r w:rsidR="00CE5688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euro; </w:t>
      </w:r>
      <w:r w:rsidR="002A5086" w:rsidRPr="00CC50C7">
        <w:rPr>
          <w:rFonts w:ascii="Arial" w:eastAsiaTheme="minorHAnsi" w:hAnsi="Arial" w:cs="Arial"/>
          <w:color w:val="555555"/>
          <w:sz w:val="21"/>
          <w:szCs w:val="21"/>
        </w:rPr>
        <w:t>+7,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>8%)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CE5688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11542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in primo luogo </w:t>
      </w:r>
      <w:r w:rsidR="006463AA" w:rsidRPr="00CC50C7">
        <w:rPr>
          <w:rFonts w:ascii="Arial" w:eastAsiaTheme="minorHAnsi" w:hAnsi="Arial" w:cs="Arial"/>
          <w:color w:val="555555"/>
          <w:sz w:val="21"/>
          <w:szCs w:val="21"/>
        </w:rPr>
        <w:t>dal</w:t>
      </w:r>
      <w:r w:rsidR="004E3799" w:rsidRPr="00CC50C7">
        <w:rPr>
          <w:rFonts w:ascii="Arial" w:eastAsiaTheme="minorHAnsi" w:hAnsi="Arial" w:cs="Arial"/>
          <w:color w:val="555555"/>
          <w:sz w:val="21"/>
          <w:szCs w:val="21"/>
        </w:rPr>
        <w:t>l’Austria</w:t>
      </w:r>
      <w:r w:rsidR="00F000A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. </w:t>
      </w:r>
      <w:r w:rsidR="00D42059" w:rsidRPr="00CC50C7">
        <w:rPr>
          <w:rFonts w:ascii="Arial" w:eastAsiaTheme="minorHAnsi" w:hAnsi="Arial" w:cs="Arial"/>
          <w:color w:val="555555"/>
          <w:sz w:val="21"/>
          <w:szCs w:val="21"/>
        </w:rPr>
        <w:t>Treviso e Bolzano le province che importano più legno.</w:t>
      </w:r>
    </w:p>
    <w:p w14:paraId="556A098F" w14:textId="744E6261" w:rsidR="00D56A69" w:rsidRPr="00CC50C7" w:rsidRDefault="00E832E0" w:rsidP="00601483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L</w:t>
      </w:r>
      <w:r w:rsidR="004841F1" w:rsidRPr="00CC50C7">
        <w:rPr>
          <w:rFonts w:ascii="Arial" w:eastAsiaTheme="minorHAnsi" w:hAnsi="Arial" w:cs="Arial"/>
          <w:color w:val="555555"/>
          <w:sz w:val="21"/>
          <w:szCs w:val="21"/>
        </w:rPr>
        <w:t>a</w:t>
      </w:r>
      <w:r w:rsidR="0075664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Lombardia</w:t>
      </w:r>
      <w:r w:rsidR="009D092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4841F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è anche la regione che importa più </w:t>
      </w:r>
      <w:r w:rsidR="00115423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M</w:t>
      </w:r>
      <w:r w:rsidR="004841F1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obili</w:t>
      </w:r>
      <w:r w:rsidR="004841F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</w:t>
      </w:r>
      <w:r w:rsidR="00F000A1" w:rsidRPr="00CC50C7">
        <w:rPr>
          <w:rFonts w:ascii="Arial" w:eastAsiaTheme="minorHAnsi" w:hAnsi="Arial" w:cs="Arial"/>
          <w:color w:val="555555"/>
          <w:sz w:val="21"/>
          <w:szCs w:val="21"/>
        </w:rPr>
        <w:t>3</w:t>
      </w:r>
      <w:r w:rsidR="00D42059" w:rsidRPr="00CC50C7">
        <w:rPr>
          <w:rFonts w:ascii="Arial" w:eastAsiaTheme="minorHAnsi" w:hAnsi="Arial" w:cs="Arial"/>
          <w:color w:val="555555"/>
          <w:sz w:val="21"/>
          <w:szCs w:val="21"/>
        </w:rPr>
        <w:t>68</w:t>
      </w:r>
      <w:r w:rsidR="00F000A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 euro</w:t>
      </w:r>
      <w:r w:rsidR="0011251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nei primi sei mesi del 202</w:t>
      </w:r>
      <w:r w:rsidR="00D42059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F000A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; </w:t>
      </w:r>
      <w:r w:rsidR="00D42059" w:rsidRPr="00CC50C7">
        <w:rPr>
          <w:rFonts w:ascii="Arial" w:eastAsiaTheme="minorHAnsi" w:hAnsi="Arial" w:cs="Arial"/>
          <w:color w:val="555555"/>
          <w:sz w:val="21"/>
          <w:szCs w:val="21"/>
        </w:rPr>
        <w:t>+</w:t>
      </w:r>
      <w:r w:rsidR="006C7DB6" w:rsidRPr="00CC50C7">
        <w:rPr>
          <w:rFonts w:ascii="Arial" w:eastAsiaTheme="minorHAnsi" w:hAnsi="Arial" w:cs="Arial"/>
          <w:color w:val="555555"/>
          <w:sz w:val="21"/>
          <w:szCs w:val="21"/>
        </w:rPr>
        <w:t>9</w:t>
      </w:r>
      <w:r w:rsidR="00D42059" w:rsidRPr="00CC50C7">
        <w:rPr>
          <w:rFonts w:ascii="Arial" w:eastAsiaTheme="minorHAnsi" w:hAnsi="Arial" w:cs="Arial"/>
          <w:color w:val="555555"/>
          <w:sz w:val="21"/>
          <w:szCs w:val="21"/>
        </w:rPr>
        <w:t>,2</w:t>
      </w:r>
      <w:r w:rsidR="004841F1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D4205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rispetto a gennaio-giugno 2024</w:t>
      </w:r>
      <w:r w:rsidR="004841F1" w:rsidRPr="00CC50C7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e</w:t>
      </w:r>
      <w:r w:rsidR="00E771A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>la Cina</w:t>
      </w:r>
      <w:r w:rsidR="00D42059" w:rsidRPr="00CC50C7">
        <w:rPr>
          <w:rFonts w:ascii="Arial" w:eastAsiaTheme="minorHAnsi" w:hAnsi="Arial" w:cs="Arial"/>
          <w:color w:val="555555"/>
          <w:sz w:val="21"/>
          <w:szCs w:val="21"/>
        </w:rPr>
        <w:t>, con una crescita del 15,6%,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si conferma il primo fornitore</w:t>
      </w:r>
      <w:r w:rsidR="0011251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. Segue 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>l’</w:t>
      </w:r>
      <w:r w:rsidR="00E771A4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Emilia</w:t>
      </w:r>
      <w:r w:rsidR="004B2BDA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-</w:t>
      </w:r>
      <w:r w:rsidR="00E771A4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Romagna</w:t>
      </w:r>
      <w:r w:rsidR="00E771A4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</w:t>
      </w:r>
      <w:r w:rsidR="00F000A1" w:rsidRPr="00CC50C7">
        <w:rPr>
          <w:rFonts w:ascii="Arial" w:eastAsiaTheme="minorHAnsi" w:hAnsi="Arial" w:cs="Arial"/>
          <w:color w:val="555555"/>
          <w:sz w:val="21"/>
          <w:szCs w:val="21"/>
        </w:rPr>
        <w:t>2</w:t>
      </w:r>
      <w:r w:rsidR="00D42059" w:rsidRPr="00CC50C7">
        <w:rPr>
          <w:rFonts w:ascii="Arial" w:eastAsiaTheme="minorHAnsi" w:hAnsi="Arial" w:cs="Arial"/>
          <w:color w:val="555555"/>
          <w:sz w:val="21"/>
          <w:szCs w:val="21"/>
        </w:rPr>
        <w:t>41</w:t>
      </w:r>
      <w:r w:rsidR="00F000A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 euro;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D42059" w:rsidRPr="00CC50C7">
        <w:rPr>
          <w:rFonts w:ascii="Arial" w:eastAsiaTheme="minorHAnsi" w:hAnsi="Arial" w:cs="Arial"/>
          <w:color w:val="555555"/>
          <w:sz w:val="21"/>
          <w:szCs w:val="21"/>
        </w:rPr>
        <w:t>+9,8</w:t>
      </w:r>
      <w:r w:rsidR="005C5B0D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E771A4" w:rsidRPr="00CC50C7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="00CC50C7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con la Polonia come principale fornitore</w:t>
      </w:r>
      <w:r w:rsidR="00112510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D42059" w:rsidRPr="00CC50C7">
        <w:rPr>
          <w:rFonts w:ascii="Arial" w:eastAsiaTheme="minorHAnsi" w:hAnsi="Arial" w:cs="Arial"/>
          <w:color w:val="555555"/>
          <w:sz w:val="21"/>
          <w:szCs w:val="21"/>
        </w:rPr>
        <w:t>a +2</w:t>
      </w:r>
      <w:r w:rsidR="00112510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  <w:r w:rsidR="006F481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831A4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Milano e </w:t>
      </w:r>
      <w:r w:rsidR="006F4811" w:rsidRPr="00CC50C7">
        <w:rPr>
          <w:rFonts w:ascii="Arial" w:eastAsiaTheme="minorHAnsi" w:hAnsi="Arial" w:cs="Arial"/>
          <w:color w:val="555555"/>
          <w:sz w:val="21"/>
          <w:szCs w:val="21"/>
        </w:rPr>
        <w:t>Piacenza le province</w:t>
      </w:r>
      <w:r w:rsidR="00FD0B8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che importano più</w:t>
      </w:r>
      <w:r w:rsidR="005159C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413CCD" w:rsidRPr="00CC50C7">
        <w:rPr>
          <w:rFonts w:ascii="Arial" w:eastAsiaTheme="minorHAnsi" w:hAnsi="Arial" w:cs="Arial"/>
          <w:color w:val="555555"/>
          <w:sz w:val="21"/>
          <w:szCs w:val="21"/>
        </w:rPr>
        <w:t>M</w:t>
      </w:r>
      <w:r w:rsidR="005159C2" w:rsidRPr="00CC50C7">
        <w:rPr>
          <w:rFonts w:ascii="Arial" w:eastAsiaTheme="minorHAnsi" w:hAnsi="Arial" w:cs="Arial"/>
          <w:color w:val="555555"/>
          <w:sz w:val="21"/>
          <w:szCs w:val="21"/>
        </w:rPr>
        <w:t>obili</w:t>
      </w:r>
      <w:r w:rsidR="00112510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</w:p>
    <w:p w14:paraId="7B23EFB0" w14:textId="104D3B15" w:rsidR="00E832E0" w:rsidRPr="00CC50C7" w:rsidRDefault="00CC50C7" w:rsidP="00601483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color w:val="555555"/>
          <w:sz w:val="21"/>
          <w:szCs w:val="21"/>
        </w:rPr>
        <w:t>Per quanto riguarda l’</w:t>
      </w:r>
      <w:proofErr w:type="spellStart"/>
      <w:r w:rsidR="004B2BDA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lluminazione</w:t>
      </w:r>
      <w:proofErr w:type="spellEnd"/>
      <w:r w:rsidR="00B67CA7" w:rsidRPr="00B67CA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4B2BD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la</w:t>
      </w:r>
      <w:r w:rsidR="00E95C8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E95C82" w:rsidRPr="00CC50C7">
        <w:rPr>
          <w:rFonts w:ascii="Arial" w:eastAsiaTheme="minorHAnsi" w:hAnsi="Arial" w:cs="Arial"/>
          <w:b/>
          <w:bCs/>
          <w:color w:val="555555"/>
          <w:sz w:val="21"/>
          <w:szCs w:val="21"/>
        </w:rPr>
        <w:t>Lombardia</w:t>
      </w:r>
      <w:r w:rsidR="00E95C82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4B2BDA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è la regione </w:t>
      </w:r>
      <w:r w:rsidR="00B60F05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che importa di più 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nel </w:t>
      </w:r>
      <w:proofErr w:type="gramStart"/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>1°</w:t>
      </w:r>
      <w:proofErr w:type="gramEnd"/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semestre 202</w:t>
      </w:r>
      <w:r w:rsidR="00C80A16" w:rsidRPr="00CC50C7">
        <w:rPr>
          <w:rFonts w:ascii="Arial" w:eastAsiaTheme="minorHAnsi" w:hAnsi="Arial" w:cs="Arial"/>
          <w:color w:val="555555"/>
          <w:sz w:val="21"/>
          <w:szCs w:val="21"/>
        </w:rPr>
        <w:t>5</w:t>
      </w:r>
      <w:r w:rsidR="00413CC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>2</w:t>
      </w:r>
      <w:r w:rsidR="004900D9" w:rsidRPr="00CC50C7">
        <w:rPr>
          <w:rFonts w:ascii="Arial" w:eastAsiaTheme="minorHAnsi" w:hAnsi="Arial" w:cs="Arial"/>
          <w:color w:val="555555"/>
          <w:sz w:val="21"/>
          <w:szCs w:val="21"/>
        </w:rPr>
        <w:t>55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 euro</w:t>
      </w:r>
      <w:r w:rsidR="00413CCD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, </w:t>
      </w:r>
      <w:r w:rsidR="004900D9" w:rsidRPr="00CC50C7">
        <w:rPr>
          <w:rFonts w:ascii="Arial" w:eastAsiaTheme="minorHAnsi" w:hAnsi="Arial" w:cs="Arial"/>
          <w:color w:val="555555"/>
          <w:sz w:val="21"/>
          <w:szCs w:val="21"/>
        </w:rPr>
        <w:t>+2,7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>% rispetto a gen</w:t>
      </w:r>
      <w:r w:rsidR="00413CCD" w:rsidRPr="00CC50C7">
        <w:rPr>
          <w:rFonts w:ascii="Arial" w:eastAsiaTheme="minorHAnsi" w:hAnsi="Arial" w:cs="Arial"/>
          <w:color w:val="555555"/>
          <w:sz w:val="21"/>
          <w:szCs w:val="21"/>
        </w:rPr>
        <w:t>naio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>-giu</w:t>
      </w:r>
      <w:r w:rsidR="00413CCD" w:rsidRPr="00CC50C7">
        <w:rPr>
          <w:rFonts w:ascii="Arial" w:eastAsiaTheme="minorHAnsi" w:hAnsi="Arial" w:cs="Arial"/>
          <w:color w:val="555555"/>
          <w:sz w:val="21"/>
          <w:szCs w:val="21"/>
        </w:rPr>
        <w:t>gno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202</w:t>
      </w:r>
      <w:r w:rsidR="004900D9" w:rsidRPr="00CC50C7">
        <w:rPr>
          <w:rFonts w:ascii="Arial" w:eastAsiaTheme="minorHAnsi" w:hAnsi="Arial" w:cs="Arial"/>
          <w:color w:val="555555"/>
          <w:sz w:val="21"/>
          <w:szCs w:val="21"/>
        </w:rPr>
        <w:t>4</w:t>
      </w:r>
      <w:r w:rsidR="00413CCD" w:rsidRPr="00CC50C7">
        <w:rPr>
          <w:rFonts w:ascii="Arial" w:eastAsiaTheme="minorHAnsi" w:hAnsi="Arial" w:cs="Arial"/>
          <w:color w:val="555555"/>
          <w:sz w:val="21"/>
          <w:szCs w:val="21"/>
        </w:rPr>
        <w:t>),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seguita dal </w:t>
      </w:r>
      <w:r w:rsidR="00EF37FA" w:rsidRPr="00CC50C7">
        <w:rPr>
          <w:rFonts w:ascii="Arial" w:eastAsiaTheme="minorHAnsi" w:hAnsi="Arial" w:cs="Arial"/>
          <w:color w:val="555555"/>
          <w:sz w:val="21"/>
          <w:szCs w:val="21"/>
        </w:rPr>
        <w:t>Piemonte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(1</w:t>
      </w:r>
      <w:r w:rsidR="004900D9" w:rsidRPr="00CC50C7">
        <w:rPr>
          <w:rFonts w:ascii="Arial" w:eastAsiaTheme="minorHAnsi" w:hAnsi="Arial" w:cs="Arial"/>
          <w:color w:val="555555"/>
          <w:sz w:val="21"/>
          <w:szCs w:val="21"/>
        </w:rPr>
        <w:t>07</w:t>
      </w:r>
      <w:r w:rsidR="009F4FB6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milioni di euro; </w:t>
      </w:r>
      <w:r w:rsidR="004900D9" w:rsidRPr="00CC50C7">
        <w:rPr>
          <w:rFonts w:ascii="Arial" w:eastAsiaTheme="minorHAnsi" w:hAnsi="Arial" w:cs="Arial"/>
          <w:color w:val="555555"/>
          <w:sz w:val="21"/>
          <w:szCs w:val="21"/>
        </w:rPr>
        <w:t>-16,4</w:t>
      </w:r>
      <w:r w:rsidR="004744BF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4900D9" w:rsidRPr="00CC50C7">
        <w:rPr>
          <w:rFonts w:ascii="Arial" w:eastAsiaTheme="minorHAnsi" w:hAnsi="Arial" w:cs="Arial"/>
          <w:color w:val="555555"/>
          <w:sz w:val="21"/>
          <w:szCs w:val="21"/>
        </w:rPr>
        <w:t>)</w:t>
      </w:r>
      <w:r w:rsidR="00B53011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  <w:r w:rsidR="0064795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CC0BC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Anche per </w:t>
      </w:r>
      <w:r w:rsidR="00B67CA7">
        <w:rPr>
          <w:rFonts w:ascii="Arial" w:eastAsiaTheme="minorHAnsi" w:hAnsi="Arial" w:cs="Arial"/>
          <w:color w:val="555555"/>
          <w:sz w:val="21"/>
          <w:szCs w:val="21"/>
        </w:rPr>
        <w:t xml:space="preserve">questo settore </w:t>
      </w:r>
      <w:r w:rsidR="00CC0BC7" w:rsidRPr="00CC50C7">
        <w:rPr>
          <w:rFonts w:ascii="Arial" w:eastAsiaTheme="minorHAnsi" w:hAnsi="Arial" w:cs="Arial"/>
          <w:color w:val="555555"/>
          <w:sz w:val="21"/>
          <w:szCs w:val="21"/>
        </w:rPr>
        <w:t>l</w:t>
      </w:r>
      <w:r w:rsidR="00B10371" w:rsidRPr="00CC50C7">
        <w:rPr>
          <w:rFonts w:ascii="Arial" w:eastAsiaTheme="minorHAnsi" w:hAnsi="Arial" w:cs="Arial"/>
          <w:color w:val="555555"/>
          <w:sz w:val="21"/>
          <w:szCs w:val="21"/>
        </w:rPr>
        <w:t>a Cina si conferma il primo fornitore</w:t>
      </w:r>
      <w:r w:rsidR="0064795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della Lombardia</w:t>
      </w:r>
      <w:r w:rsidR="004900D9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a +13,4%</w:t>
      </w:r>
      <w:r w:rsidR="00B53011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64795F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7A227B" w:rsidRPr="00CC50C7">
        <w:rPr>
          <w:rFonts w:ascii="Arial" w:eastAsiaTheme="minorHAnsi" w:hAnsi="Arial" w:cs="Arial"/>
          <w:color w:val="555555"/>
          <w:sz w:val="21"/>
          <w:szCs w:val="21"/>
        </w:rPr>
        <w:t>seguita dalla Germania</w:t>
      </w:r>
      <w:r w:rsidR="005D261D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7A227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4900D9" w:rsidRPr="00CC50C7">
        <w:rPr>
          <w:rFonts w:ascii="Arial" w:eastAsiaTheme="minorHAnsi" w:hAnsi="Arial" w:cs="Arial"/>
          <w:color w:val="555555"/>
          <w:sz w:val="21"/>
          <w:szCs w:val="21"/>
        </w:rPr>
        <w:t>in calo del 6,1</w:t>
      </w:r>
      <w:r w:rsidR="007A227B" w:rsidRPr="00CC50C7">
        <w:rPr>
          <w:rFonts w:ascii="Arial" w:eastAsiaTheme="minorHAnsi" w:hAnsi="Arial" w:cs="Arial"/>
          <w:color w:val="555555"/>
          <w:sz w:val="21"/>
          <w:szCs w:val="21"/>
        </w:rPr>
        <w:t>%</w:t>
      </w:r>
      <w:r w:rsidR="005D261D" w:rsidRPr="00CC50C7">
        <w:rPr>
          <w:rFonts w:ascii="Arial" w:eastAsiaTheme="minorHAnsi" w:hAnsi="Arial" w:cs="Arial"/>
          <w:color w:val="555555"/>
          <w:sz w:val="21"/>
          <w:szCs w:val="21"/>
        </w:rPr>
        <w:t>,</w:t>
      </w:r>
      <w:r w:rsidR="007A227B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mentre sono Polonia e Spagna i principali fornitori </w:t>
      </w:r>
      <w:r w:rsidR="00B53011" w:rsidRPr="00CC50C7">
        <w:rPr>
          <w:rFonts w:ascii="Arial" w:eastAsiaTheme="minorHAnsi" w:hAnsi="Arial" w:cs="Arial"/>
          <w:color w:val="555555"/>
          <w:sz w:val="21"/>
          <w:szCs w:val="21"/>
        </w:rPr>
        <w:t>(en</w:t>
      </w:r>
      <w:r w:rsidR="0015495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trambi in </w:t>
      </w:r>
      <w:r w:rsidR="004900D9" w:rsidRPr="00CC50C7">
        <w:rPr>
          <w:rFonts w:ascii="Arial" w:eastAsiaTheme="minorHAnsi" w:hAnsi="Arial" w:cs="Arial"/>
          <w:color w:val="555555"/>
          <w:sz w:val="21"/>
          <w:szCs w:val="21"/>
        </w:rPr>
        <w:t>flessione)</w:t>
      </w:r>
      <w:r w:rsidR="0015495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7A227B" w:rsidRPr="00CC50C7">
        <w:rPr>
          <w:rFonts w:ascii="Arial" w:eastAsiaTheme="minorHAnsi" w:hAnsi="Arial" w:cs="Arial"/>
          <w:color w:val="555555"/>
          <w:sz w:val="21"/>
          <w:szCs w:val="21"/>
        </w:rPr>
        <w:t>del Piemonte</w:t>
      </w:r>
      <w:r w:rsidR="00CC0BC7" w:rsidRPr="00CC50C7">
        <w:rPr>
          <w:rFonts w:ascii="Arial" w:eastAsiaTheme="minorHAnsi" w:hAnsi="Arial" w:cs="Arial"/>
          <w:color w:val="555555"/>
          <w:sz w:val="21"/>
          <w:szCs w:val="21"/>
        </w:rPr>
        <w:t>.</w:t>
      </w:r>
      <w:r w:rsidR="00DC0773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</w:t>
      </w:r>
      <w:r w:rsidR="00CC0BC7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Milano e </w:t>
      </w:r>
      <w:r w:rsidR="00B1037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Torino </w:t>
      </w:r>
      <w:r w:rsidR="00DE2FF5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rimangono </w:t>
      </w:r>
      <w:r w:rsidR="00DC0773" w:rsidRPr="00CC50C7">
        <w:rPr>
          <w:rFonts w:ascii="Arial" w:eastAsiaTheme="minorHAnsi" w:hAnsi="Arial" w:cs="Arial"/>
          <w:color w:val="555555"/>
          <w:sz w:val="21"/>
          <w:szCs w:val="21"/>
        </w:rPr>
        <w:t>l</w:t>
      </w:r>
      <w:r w:rsidR="00CC0BC7" w:rsidRPr="00CC50C7">
        <w:rPr>
          <w:rFonts w:ascii="Arial" w:eastAsiaTheme="minorHAnsi" w:hAnsi="Arial" w:cs="Arial"/>
          <w:color w:val="555555"/>
          <w:sz w:val="21"/>
          <w:szCs w:val="21"/>
        </w:rPr>
        <w:t>e</w:t>
      </w:r>
      <w:r w:rsidR="00B1037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provinc</w:t>
      </w:r>
      <w:r w:rsidR="00CC0BC7" w:rsidRPr="00CC50C7">
        <w:rPr>
          <w:rFonts w:ascii="Arial" w:eastAsiaTheme="minorHAnsi" w:hAnsi="Arial" w:cs="Arial"/>
          <w:color w:val="555555"/>
          <w:sz w:val="21"/>
          <w:szCs w:val="21"/>
        </w:rPr>
        <w:t>e</w:t>
      </w:r>
      <w:r w:rsidR="00B1037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che importa</w:t>
      </w:r>
      <w:r w:rsidR="00154957" w:rsidRPr="00CC50C7">
        <w:rPr>
          <w:rFonts w:ascii="Arial" w:eastAsiaTheme="minorHAnsi" w:hAnsi="Arial" w:cs="Arial"/>
          <w:color w:val="555555"/>
          <w:sz w:val="21"/>
          <w:szCs w:val="21"/>
        </w:rPr>
        <w:t>no</w:t>
      </w:r>
      <w:r w:rsidR="00B10371" w:rsidRPr="00CC50C7">
        <w:rPr>
          <w:rFonts w:ascii="Arial" w:eastAsiaTheme="minorHAnsi" w:hAnsi="Arial" w:cs="Arial"/>
          <w:color w:val="555555"/>
          <w:sz w:val="21"/>
          <w:szCs w:val="21"/>
        </w:rPr>
        <w:t xml:space="preserve"> di più</w:t>
      </w:r>
      <w:r w:rsidR="004900D9" w:rsidRPr="00CC50C7">
        <w:rPr>
          <w:rFonts w:ascii="Arial" w:eastAsiaTheme="minorHAnsi" w:hAnsi="Arial" w:cs="Arial"/>
          <w:color w:val="555555"/>
          <w:sz w:val="21"/>
          <w:szCs w:val="21"/>
        </w:rPr>
        <w:t>; in crescita (+5%) la prima, in calo (-9,9%) la seconda.</w:t>
      </w:r>
    </w:p>
    <w:p w14:paraId="04B8F123" w14:textId="77777777" w:rsidR="00115423" w:rsidRPr="00CC50C7" w:rsidRDefault="00115423" w:rsidP="00601483">
      <w:pPr>
        <w:pStyle w:val="NormaleWeb"/>
        <w:spacing w:before="0" w:beforeAutospacing="0" w:after="0" w:afterAutospacing="0" w:line="255" w:lineRule="atLeast"/>
        <w:jc w:val="both"/>
        <w:rPr>
          <w:rFonts w:ascii="Arial" w:eastAsiaTheme="minorHAnsi" w:hAnsi="Arial" w:cs="Arial"/>
          <w:color w:val="555555"/>
          <w:sz w:val="21"/>
          <w:szCs w:val="21"/>
        </w:rPr>
      </w:pPr>
    </w:p>
    <w:p w14:paraId="22D9F7AA" w14:textId="66D5ECC6" w:rsidR="009F7216" w:rsidRPr="00115423" w:rsidRDefault="009F7216">
      <w:pPr>
        <w:rPr>
          <w:rFonts w:ascii="Arial" w:eastAsiaTheme="minorHAnsi" w:hAnsi="Arial" w:cs="Arial"/>
          <w:i/>
          <w:iCs/>
          <w:color w:val="555555"/>
          <w:sz w:val="21"/>
          <w:szCs w:val="21"/>
        </w:rPr>
      </w:pPr>
      <w:r w:rsidRPr="00CC50C7">
        <w:rPr>
          <w:rFonts w:ascii="Arial" w:eastAsiaTheme="minorHAnsi" w:hAnsi="Arial" w:cs="Arial"/>
          <w:i/>
          <w:iCs/>
          <w:color w:val="555555"/>
          <w:sz w:val="21"/>
          <w:szCs w:val="21"/>
        </w:rPr>
        <w:t>Fonte: Centro Studi Federlegno</w:t>
      </w:r>
      <w:r w:rsidR="00D816BC" w:rsidRPr="00CC50C7">
        <w:rPr>
          <w:rFonts w:ascii="Arial" w:eastAsiaTheme="minorHAnsi" w:hAnsi="Arial" w:cs="Arial"/>
          <w:i/>
          <w:iCs/>
          <w:color w:val="555555"/>
          <w:sz w:val="21"/>
          <w:szCs w:val="21"/>
        </w:rPr>
        <w:t>-</w:t>
      </w:r>
      <w:r w:rsidRPr="00CC50C7">
        <w:rPr>
          <w:rFonts w:ascii="Arial" w:eastAsiaTheme="minorHAnsi" w:hAnsi="Arial" w:cs="Arial"/>
          <w:i/>
          <w:iCs/>
          <w:color w:val="555555"/>
          <w:sz w:val="21"/>
          <w:szCs w:val="21"/>
        </w:rPr>
        <w:t>Arredo su dati Istat</w:t>
      </w:r>
    </w:p>
    <w:sectPr w:rsidR="009F7216" w:rsidRPr="00115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AA"/>
    <w:rsid w:val="0001036A"/>
    <w:rsid w:val="000109FA"/>
    <w:rsid w:val="00024EEA"/>
    <w:rsid w:val="000465FB"/>
    <w:rsid w:val="000645FD"/>
    <w:rsid w:val="00081075"/>
    <w:rsid w:val="0008166E"/>
    <w:rsid w:val="000822D2"/>
    <w:rsid w:val="000844FD"/>
    <w:rsid w:val="00085DE3"/>
    <w:rsid w:val="000941AA"/>
    <w:rsid w:val="00094BFC"/>
    <w:rsid w:val="000A58C9"/>
    <w:rsid w:val="000B4F73"/>
    <w:rsid w:val="000C3A88"/>
    <w:rsid w:val="000E7CF3"/>
    <w:rsid w:val="000F6C2F"/>
    <w:rsid w:val="00112510"/>
    <w:rsid w:val="00115423"/>
    <w:rsid w:val="00143A32"/>
    <w:rsid w:val="00151667"/>
    <w:rsid w:val="00154957"/>
    <w:rsid w:val="001574B4"/>
    <w:rsid w:val="001574DD"/>
    <w:rsid w:val="00166DF5"/>
    <w:rsid w:val="00166F06"/>
    <w:rsid w:val="00176539"/>
    <w:rsid w:val="001B1A90"/>
    <w:rsid w:val="001B770B"/>
    <w:rsid w:val="001C2A7A"/>
    <w:rsid w:val="001C3373"/>
    <w:rsid w:val="001D3D5B"/>
    <w:rsid w:val="001E0CE0"/>
    <w:rsid w:val="001E2142"/>
    <w:rsid w:val="001E2471"/>
    <w:rsid w:val="001F4CA0"/>
    <w:rsid w:val="002006A6"/>
    <w:rsid w:val="002017CA"/>
    <w:rsid w:val="00221CF4"/>
    <w:rsid w:val="00243503"/>
    <w:rsid w:val="002439E3"/>
    <w:rsid w:val="00244BFB"/>
    <w:rsid w:val="002531FE"/>
    <w:rsid w:val="00256249"/>
    <w:rsid w:val="0025799D"/>
    <w:rsid w:val="002726D0"/>
    <w:rsid w:val="002827F0"/>
    <w:rsid w:val="00290233"/>
    <w:rsid w:val="002A46FF"/>
    <w:rsid w:val="002A5086"/>
    <w:rsid w:val="002A630F"/>
    <w:rsid w:val="002B0BD5"/>
    <w:rsid w:val="002C0048"/>
    <w:rsid w:val="002D0F60"/>
    <w:rsid w:val="002E752D"/>
    <w:rsid w:val="002F412F"/>
    <w:rsid w:val="00313156"/>
    <w:rsid w:val="00314AEF"/>
    <w:rsid w:val="00326C40"/>
    <w:rsid w:val="003630ED"/>
    <w:rsid w:val="003E6C3F"/>
    <w:rsid w:val="003F353A"/>
    <w:rsid w:val="003F4582"/>
    <w:rsid w:val="00412329"/>
    <w:rsid w:val="00413CCD"/>
    <w:rsid w:val="00417937"/>
    <w:rsid w:val="0042019B"/>
    <w:rsid w:val="00424D53"/>
    <w:rsid w:val="004340CA"/>
    <w:rsid w:val="00442BE0"/>
    <w:rsid w:val="0044389A"/>
    <w:rsid w:val="00443BF2"/>
    <w:rsid w:val="00451114"/>
    <w:rsid w:val="00451A68"/>
    <w:rsid w:val="004705A4"/>
    <w:rsid w:val="004744BF"/>
    <w:rsid w:val="004841F1"/>
    <w:rsid w:val="004900D9"/>
    <w:rsid w:val="004A42AA"/>
    <w:rsid w:val="004A7CF7"/>
    <w:rsid w:val="004B2BDA"/>
    <w:rsid w:val="004C12C1"/>
    <w:rsid w:val="004C3EA9"/>
    <w:rsid w:val="004D0B6E"/>
    <w:rsid w:val="004D7B71"/>
    <w:rsid w:val="004E3799"/>
    <w:rsid w:val="004E754E"/>
    <w:rsid w:val="0050041F"/>
    <w:rsid w:val="00507ADE"/>
    <w:rsid w:val="005159C2"/>
    <w:rsid w:val="0053379C"/>
    <w:rsid w:val="00560B66"/>
    <w:rsid w:val="00575EC6"/>
    <w:rsid w:val="005809EC"/>
    <w:rsid w:val="00582CA3"/>
    <w:rsid w:val="00587FA9"/>
    <w:rsid w:val="00591083"/>
    <w:rsid w:val="005B0AA4"/>
    <w:rsid w:val="005B18FA"/>
    <w:rsid w:val="005B3865"/>
    <w:rsid w:val="005B54D7"/>
    <w:rsid w:val="005B637F"/>
    <w:rsid w:val="005C3F31"/>
    <w:rsid w:val="005C5B0D"/>
    <w:rsid w:val="005D25DF"/>
    <w:rsid w:val="005D261D"/>
    <w:rsid w:val="005E2351"/>
    <w:rsid w:val="005E696B"/>
    <w:rsid w:val="00601483"/>
    <w:rsid w:val="00602A72"/>
    <w:rsid w:val="006279AD"/>
    <w:rsid w:val="006463AA"/>
    <w:rsid w:val="006466BE"/>
    <w:rsid w:val="0064795F"/>
    <w:rsid w:val="00663772"/>
    <w:rsid w:val="00666ECB"/>
    <w:rsid w:val="00671654"/>
    <w:rsid w:val="0068512C"/>
    <w:rsid w:val="006866D0"/>
    <w:rsid w:val="006A0366"/>
    <w:rsid w:val="006A3099"/>
    <w:rsid w:val="006C0411"/>
    <w:rsid w:val="006C7DB6"/>
    <w:rsid w:val="006D07E2"/>
    <w:rsid w:val="006D2812"/>
    <w:rsid w:val="006D411F"/>
    <w:rsid w:val="006E03D4"/>
    <w:rsid w:val="006E4B48"/>
    <w:rsid w:val="006E4C1F"/>
    <w:rsid w:val="006F4811"/>
    <w:rsid w:val="0070137C"/>
    <w:rsid w:val="007350F3"/>
    <w:rsid w:val="00755611"/>
    <w:rsid w:val="00756647"/>
    <w:rsid w:val="00757180"/>
    <w:rsid w:val="007659DE"/>
    <w:rsid w:val="00765C94"/>
    <w:rsid w:val="0078472E"/>
    <w:rsid w:val="00791889"/>
    <w:rsid w:val="007A227B"/>
    <w:rsid w:val="007B6331"/>
    <w:rsid w:val="007E4763"/>
    <w:rsid w:val="007E67C2"/>
    <w:rsid w:val="007F0BD7"/>
    <w:rsid w:val="008142E6"/>
    <w:rsid w:val="00823B16"/>
    <w:rsid w:val="00824E55"/>
    <w:rsid w:val="00826B92"/>
    <w:rsid w:val="00830527"/>
    <w:rsid w:val="00831A4F"/>
    <w:rsid w:val="00832CC4"/>
    <w:rsid w:val="00834FD0"/>
    <w:rsid w:val="00844838"/>
    <w:rsid w:val="00863044"/>
    <w:rsid w:val="00865668"/>
    <w:rsid w:val="00866DFA"/>
    <w:rsid w:val="00890475"/>
    <w:rsid w:val="0089191B"/>
    <w:rsid w:val="008A0BA1"/>
    <w:rsid w:val="008A1183"/>
    <w:rsid w:val="008B6495"/>
    <w:rsid w:val="008B71E5"/>
    <w:rsid w:val="008C52BF"/>
    <w:rsid w:val="008C7F54"/>
    <w:rsid w:val="008D0952"/>
    <w:rsid w:val="008D4215"/>
    <w:rsid w:val="008E4521"/>
    <w:rsid w:val="008E4649"/>
    <w:rsid w:val="00900A7D"/>
    <w:rsid w:val="0091492A"/>
    <w:rsid w:val="0091561C"/>
    <w:rsid w:val="00925E1E"/>
    <w:rsid w:val="00933A40"/>
    <w:rsid w:val="009573A7"/>
    <w:rsid w:val="00967421"/>
    <w:rsid w:val="00977A2F"/>
    <w:rsid w:val="009862EE"/>
    <w:rsid w:val="00993280"/>
    <w:rsid w:val="00996805"/>
    <w:rsid w:val="009A1EBA"/>
    <w:rsid w:val="009C59D8"/>
    <w:rsid w:val="009D0923"/>
    <w:rsid w:val="009D77D2"/>
    <w:rsid w:val="009F17FB"/>
    <w:rsid w:val="009F3534"/>
    <w:rsid w:val="009F4FB6"/>
    <w:rsid w:val="009F7216"/>
    <w:rsid w:val="00A00268"/>
    <w:rsid w:val="00A06CEC"/>
    <w:rsid w:val="00A14614"/>
    <w:rsid w:val="00A157E3"/>
    <w:rsid w:val="00A2380F"/>
    <w:rsid w:val="00A247F6"/>
    <w:rsid w:val="00A37256"/>
    <w:rsid w:val="00A37972"/>
    <w:rsid w:val="00A61A6B"/>
    <w:rsid w:val="00A6645E"/>
    <w:rsid w:val="00A76D1E"/>
    <w:rsid w:val="00A815E2"/>
    <w:rsid w:val="00A86535"/>
    <w:rsid w:val="00A92199"/>
    <w:rsid w:val="00AA084E"/>
    <w:rsid w:val="00AB087F"/>
    <w:rsid w:val="00AB7158"/>
    <w:rsid w:val="00AB7DF4"/>
    <w:rsid w:val="00AD33EB"/>
    <w:rsid w:val="00AE17B9"/>
    <w:rsid w:val="00AE2BB1"/>
    <w:rsid w:val="00AE6973"/>
    <w:rsid w:val="00AF6369"/>
    <w:rsid w:val="00AF7A30"/>
    <w:rsid w:val="00B03BB7"/>
    <w:rsid w:val="00B10371"/>
    <w:rsid w:val="00B200C6"/>
    <w:rsid w:val="00B24387"/>
    <w:rsid w:val="00B25540"/>
    <w:rsid w:val="00B44D1F"/>
    <w:rsid w:val="00B53011"/>
    <w:rsid w:val="00B60F05"/>
    <w:rsid w:val="00B67CA7"/>
    <w:rsid w:val="00B71D24"/>
    <w:rsid w:val="00B83089"/>
    <w:rsid w:val="00B94A77"/>
    <w:rsid w:val="00B971A8"/>
    <w:rsid w:val="00BA0C50"/>
    <w:rsid w:val="00BB5B35"/>
    <w:rsid w:val="00BB7305"/>
    <w:rsid w:val="00BC189D"/>
    <w:rsid w:val="00BD740D"/>
    <w:rsid w:val="00BE07CD"/>
    <w:rsid w:val="00BE350D"/>
    <w:rsid w:val="00BF2EDE"/>
    <w:rsid w:val="00BF3DA8"/>
    <w:rsid w:val="00BF4EE6"/>
    <w:rsid w:val="00C04354"/>
    <w:rsid w:val="00C157F8"/>
    <w:rsid w:val="00C24F91"/>
    <w:rsid w:val="00C257D7"/>
    <w:rsid w:val="00C309EB"/>
    <w:rsid w:val="00C42CDB"/>
    <w:rsid w:val="00C5082B"/>
    <w:rsid w:val="00C72360"/>
    <w:rsid w:val="00C7327E"/>
    <w:rsid w:val="00C77478"/>
    <w:rsid w:val="00C80A16"/>
    <w:rsid w:val="00C84535"/>
    <w:rsid w:val="00C91CA6"/>
    <w:rsid w:val="00C92CAC"/>
    <w:rsid w:val="00CB7CC3"/>
    <w:rsid w:val="00CC0BC7"/>
    <w:rsid w:val="00CC3431"/>
    <w:rsid w:val="00CC50C7"/>
    <w:rsid w:val="00CD65CE"/>
    <w:rsid w:val="00CE5688"/>
    <w:rsid w:val="00CF188A"/>
    <w:rsid w:val="00CF409F"/>
    <w:rsid w:val="00D109EC"/>
    <w:rsid w:val="00D15992"/>
    <w:rsid w:val="00D33943"/>
    <w:rsid w:val="00D42059"/>
    <w:rsid w:val="00D56A69"/>
    <w:rsid w:val="00D619B3"/>
    <w:rsid w:val="00D62B4F"/>
    <w:rsid w:val="00D816BC"/>
    <w:rsid w:val="00D87DFF"/>
    <w:rsid w:val="00D92333"/>
    <w:rsid w:val="00D95BAD"/>
    <w:rsid w:val="00DA068E"/>
    <w:rsid w:val="00DA59E2"/>
    <w:rsid w:val="00DC0773"/>
    <w:rsid w:val="00DC5F54"/>
    <w:rsid w:val="00DC65F4"/>
    <w:rsid w:val="00DD0B7D"/>
    <w:rsid w:val="00DE2FF5"/>
    <w:rsid w:val="00DE4F3C"/>
    <w:rsid w:val="00DF1024"/>
    <w:rsid w:val="00E0344B"/>
    <w:rsid w:val="00E216DD"/>
    <w:rsid w:val="00E30FE4"/>
    <w:rsid w:val="00E37B1E"/>
    <w:rsid w:val="00E4163C"/>
    <w:rsid w:val="00E425A9"/>
    <w:rsid w:val="00E5124B"/>
    <w:rsid w:val="00E5459A"/>
    <w:rsid w:val="00E64369"/>
    <w:rsid w:val="00E771A4"/>
    <w:rsid w:val="00E80F60"/>
    <w:rsid w:val="00E832E0"/>
    <w:rsid w:val="00E908D5"/>
    <w:rsid w:val="00E95C82"/>
    <w:rsid w:val="00EB1F82"/>
    <w:rsid w:val="00EB7090"/>
    <w:rsid w:val="00EB7D72"/>
    <w:rsid w:val="00ED51B7"/>
    <w:rsid w:val="00ED5CB3"/>
    <w:rsid w:val="00EE2079"/>
    <w:rsid w:val="00EF37FA"/>
    <w:rsid w:val="00EF4143"/>
    <w:rsid w:val="00F000A1"/>
    <w:rsid w:val="00F05F5B"/>
    <w:rsid w:val="00F21ABE"/>
    <w:rsid w:val="00F2219B"/>
    <w:rsid w:val="00F2234E"/>
    <w:rsid w:val="00F43807"/>
    <w:rsid w:val="00F50C8A"/>
    <w:rsid w:val="00F565C8"/>
    <w:rsid w:val="00F63148"/>
    <w:rsid w:val="00F71B1E"/>
    <w:rsid w:val="00F74686"/>
    <w:rsid w:val="00F7608B"/>
    <w:rsid w:val="00F808FF"/>
    <w:rsid w:val="00F8510A"/>
    <w:rsid w:val="00F861A6"/>
    <w:rsid w:val="00F87B54"/>
    <w:rsid w:val="00F95CDF"/>
    <w:rsid w:val="00F95F09"/>
    <w:rsid w:val="00FB1319"/>
    <w:rsid w:val="00FC167F"/>
    <w:rsid w:val="00FC720C"/>
    <w:rsid w:val="00FD0B86"/>
    <w:rsid w:val="00FD1799"/>
    <w:rsid w:val="00FD6D72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8DCC"/>
  <w15:chartTrackingRefBased/>
  <w15:docId w15:val="{B68A1AB3-B47E-4C7F-98EA-2D6182D7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AA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B0AA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B0AA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B0AA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09EC"/>
    <w:rPr>
      <w:color w:val="800080" w:themeColor="followedHyperlink"/>
      <w:u w:val="single"/>
    </w:rPr>
  </w:style>
  <w:style w:type="paragraph" w:customStyle="1" w:styleId="Default">
    <w:name w:val="Default"/>
    <w:rsid w:val="005B18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Dellorto</dc:creator>
  <cp:keywords/>
  <dc:description/>
  <cp:lastModifiedBy>Francesca Federici</cp:lastModifiedBy>
  <cp:revision>23</cp:revision>
  <cp:lastPrinted>2025-09-17T11:04:00Z</cp:lastPrinted>
  <dcterms:created xsi:type="dcterms:W3CDTF">2024-09-17T07:04:00Z</dcterms:created>
  <dcterms:modified xsi:type="dcterms:W3CDTF">2025-09-17T12:50:00Z</dcterms:modified>
</cp:coreProperties>
</file>