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EE" w:rsidRPr="00147BCE" w:rsidRDefault="00585EEE" w:rsidP="00C510AA">
      <w:pPr>
        <w:jc w:val="both"/>
        <w:rPr>
          <w:rFonts w:ascii="Helvetica" w:hAnsi="Helvetica"/>
          <w:lang w:val="en-GB"/>
        </w:rPr>
      </w:pPr>
      <w:bookmarkStart w:id="0" w:name="_GoBack"/>
      <w:bookmarkEnd w:id="0"/>
    </w:p>
    <w:p w:rsidR="00F05378" w:rsidRPr="00147BCE" w:rsidRDefault="00F05378" w:rsidP="00C510AA">
      <w:pPr>
        <w:jc w:val="both"/>
        <w:rPr>
          <w:rFonts w:ascii="Helvetica" w:hAnsi="Helvetica"/>
          <w:lang w:val="en-GB"/>
        </w:rPr>
      </w:pPr>
    </w:p>
    <w:p w:rsidR="00447C29" w:rsidRPr="00147BCE" w:rsidRDefault="00447C29" w:rsidP="00447C29">
      <w:pPr>
        <w:tabs>
          <w:tab w:val="left" w:pos="2320"/>
        </w:tabs>
        <w:jc w:val="center"/>
        <w:rPr>
          <w:rFonts w:ascii="Helvetica" w:hAnsi="Helvetica"/>
          <w:lang w:val="en-GB"/>
        </w:rPr>
      </w:pPr>
      <w:r w:rsidRPr="00147BCE">
        <w:rPr>
          <w:rFonts w:ascii="Helvetica" w:hAnsi="Helvetica"/>
          <w:lang w:val="en-GB"/>
        </w:rPr>
        <w:t xml:space="preserve"> </w:t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  <w:r w:rsidRPr="00147BCE">
        <w:rPr>
          <w:rFonts w:ascii="Helvetica" w:hAnsi="Helvetica"/>
          <w:lang w:val="en-GB"/>
        </w:rPr>
        <w:tab/>
      </w:r>
    </w:p>
    <w:p w:rsidR="00F05378" w:rsidRPr="00147BCE" w:rsidRDefault="00F05378" w:rsidP="00C510AA">
      <w:pPr>
        <w:jc w:val="both"/>
        <w:rPr>
          <w:rFonts w:ascii="Helvetica" w:hAnsi="Helvetica"/>
          <w:lang w:val="en-GB"/>
        </w:rPr>
      </w:pPr>
    </w:p>
    <w:p w:rsidR="0085067C" w:rsidRPr="0038246E" w:rsidRDefault="00147BCE" w:rsidP="005F3B61">
      <w:pPr>
        <w:ind w:left="2268" w:right="134"/>
        <w:jc w:val="both"/>
        <w:rPr>
          <w:rFonts w:asciiTheme="majorHAnsi" w:hAnsiTheme="majorHAnsi"/>
          <w:b/>
          <w:sz w:val="28"/>
          <w:szCs w:val="28"/>
          <w:lang w:val="en-GB"/>
        </w:rPr>
      </w:pPr>
      <w:r w:rsidRPr="0038246E">
        <w:rPr>
          <w:rFonts w:asciiTheme="majorHAnsi" w:hAnsiTheme="majorHAnsi"/>
          <w:b/>
          <w:sz w:val="28"/>
          <w:szCs w:val="28"/>
          <w:lang w:val="en-GB"/>
        </w:rPr>
        <w:t>BATHROOM FURNITURE -</w:t>
      </w:r>
      <w:r w:rsidR="0085067C" w:rsidRPr="0038246E">
        <w:rPr>
          <w:rFonts w:asciiTheme="majorHAnsi" w:hAnsiTheme="majorHAnsi"/>
          <w:b/>
          <w:sz w:val="28"/>
          <w:szCs w:val="28"/>
          <w:lang w:val="en-GB"/>
        </w:rPr>
        <w:t xml:space="preserve"> </w:t>
      </w:r>
      <w:r w:rsidRPr="0038246E">
        <w:rPr>
          <w:rFonts w:asciiTheme="majorHAnsi" w:hAnsiTheme="majorHAnsi"/>
          <w:b/>
          <w:sz w:val="28"/>
          <w:szCs w:val="28"/>
          <w:lang w:val="en-GB"/>
        </w:rPr>
        <w:t>EUROPEAN MARKETS BACK TO GROWTH</w:t>
      </w:r>
      <w:r w:rsidR="0085067C" w:rsidRPr="0038246E">
        <w:rPr>
          <w:rFonts w:asciiTheme="majorHAnsi" w:hAnsiTheme="majorHAnsi"/>
          <w:b/>
          <w:sz w:val="28"/>
          <w:szCs w:val="28"/>
          <w:lang w:val="en-GB"/>
        </w:rPr>
        <w:t xml:space="preserve">. </w:t>
      </w:r>
      <w:r w:rsidRPr="0038246E">
        <w:rPr>
          <w:rFonts w:asciiTheme="majorHAnsi" w:hAnsiTheme="majorHAnsi"/>
          <w:b/>
          <w:sz w:val="28"/>
          <w:szCs w:val="28"/>
          <w:lang w:val="en-GB"/>
        </w:rPr>
        <w:t>CHINA SPRINTS</w:t>
      </w:r>
    </w:p>
    <w:p w:rsidR="0085067C" w:rsidRPr="00827F76" w:rsidRDefault="0085067C" w:rsidP="0085067C">
      <w:pPr>
        <w:ind w:left="2268" w:right="134"/>
        <w:rPr>
          <w:rFonts w:asciiTheme="majorHAnsi" w:hAnsiTheme="majorHAnsi"/>
          <w:lang w:val="en-GB"/>
        </w:rPr>
      </w:pPr>
    </w:p>
    <w:p w:rsidR="0085067C" w:rsidRPr="00827F76" w:rsidRDefault="00147BCE" w:rsidP="005F3B61">
      <w:pPr>
        <w:ind w:left="2268" w:right="134"/>
        <w:jc w:val="both"/>
        <w:rPr>
          <w:rFonts w:asciiTheme="majorHAnsi" w:hAnsiTheme="majorHAnsi"/>
          <w:b/>
          <w:lang w:val="en-GB"/>
        </w:rPr>
      </w:pPr>
      <w:r w:rsidRPr="00827F76">
        <w:rPr>
          <w:rFonts w:asciiTheme="majorHAnsi" w:hAnsiTheme="majorHAnsi"/>
          <w:b/>
          <w:lang w:val="en-GB"/>
        </w:rPr>
        <w:t>Development of</w:t>
      </w:r>
      <w:r w:rsidR="0085067C" w:rsidRPr="00827F76">
        <w:rPr>
          <w:rFonts w:asciiTheme="majorHAnsi" w:hAnsiTheme="majorHAnsi"/>
          <w:b/>
          <w:lang w:val="en-GB"/>
        </w:rPr>
        <w:t xml:space="preserve"> </w:t>
      </w:r>
      <w:r w:rsidRPr="00827F76">
        <w:rPr>
          <w:rFonts w:asciiTheme="majorHAnsi" w:hAnsiTheme="majorHAnsi"/>
          <w:b/>
          <w:lang w:val="en-GB"/>
        </w:rPr>
        <w:t>exports and building renovations are the two elements</w:t>
      </w:r>
      <w:r w:rsidR="0085067C" w:rsidRPr="00827F76">
        <w:rPr>
          <w:rFonts w:asciiTheme="majorHAnsi" w:hAnsiTheme="majorHAnsi"/>
          <w:b/>
          <w:lang w:val="en-GB"/>
        </w:rPr>
        <w:t xml:space="preserve"> </w:t>
      </w:r>
      <w:r w:rsidRPr="00827F76">
        <w:rPr>
          <w:rFonts w:asciiTheme="majorHAnsi" w:hAnsiTheme="majorHAnsi"/>
          <w:b/>
          <w:lang w:val="en-GB"/>
        </w:rPr>
        <w:t>that have mainly sustained the work of Italian companies in the sector</w:t>
      </w:r>
    </w:p>
    <w:p w:rsidR="0085067C" w:rsidRPr="00827F76" w:rsidRDefault="0085067C" w:rsidP="0085067C">
      <w:pPr>
        <w:ind w:left="2268" w:right="134"/>
        <w:rPr>
          <w:rFonts w:asciiTheme="majorHAnsi" w:hAnsiTheme="majorHAnsi"/>
          <w:lang w:val="en-GB"/>
        </w:rPr>
      </w:pPr>
    </w:p>
    <w:p w:rsidR="00AA4D51" w:rsidRPr="00827F76" w:rsidRDefault="00147BCE" w:rsidP="000252C6">
      <w:pPr>
        <w:ind w:left="2268" w:right="134"/>
        <w:jc w:val="both"/>
        <w:rPr>
          <w:rFonts w:asciiTheme="majorHAnsi" w:hAnsiTheme="majorHAnsi"/>
          <w:b/>
          <w:lang w:val="en-GB"/>
        </w:rPr>
      </w:pPr>
      <w:r w:rsidRPr="00827F76">
        <w:rPr>
          <w:rFonts w:asciiTheme="majorHAnsi" w:hAnsiTheme="majorHAnsi"/>
          <w:lang w:val="en-GB"/>
        </w:rPr>
        <w:t xml:space="preserve">The </w:t>
      </w:r>
      <w:r w:rsidRPr="00827F76">
        <w:rPr>
          <w:rFonts w:asciiTheme="majorHAnsi" w:hAnsiTheme="majorHAnsi"/>
          <w:b/>
          <w:lang w:val="en-GB"/>
        </w:rPr>
        <w:t xml:space="preserve">trend in the bathroom furniture market in the early months of </w:t>
      </w:r>
      <w:r w:rsidR="0085067C" w:rsidRPr="00827F76">
        <w:rPr>
          <w:rFonts w:asciiTheme="majorHAnsi" w:hAnsiTheme="majorHAnsi"/>
          <w:lang w:val="en-GB"/>
        </w:rPr>
        <w:t xml:space="preserve">2014 </w:t>
      </w:r>
      <w:r w:rsidRPr="00827F76">
        <w:rPr>
          <w:rFonts w:asciiTheme="majorHAnsi" w:hAnsiTheme="majorHAnsi"/>
          <w:lang w:val="en-GB"/>
        </w:rPr>
        <w:t xml:space="preserve">was substantially in line with the pattern seen in </w:t>
      </w:r>
      <w:r w:rsidR="0085067C" w:rsidRPr="00827F76">
        <w:rPr>
          <w:rFonts w:asciiTheme="majorHAnsi" w:hAnsiTheme="majorHAnsi"/>
          <w:lang w:val="en-GB"/>
        </w:rPr>
        <w:t xml:space="preserve">2013. </w:t>
      </w:r>
      <w:r w:rsidR="00FE2042" w:rsidRPr="00827F76">
        <w:rPr>
          <w:rFonts w:asciiTheme="majorHAnsi" w:hAnsiTheme="majorHAnsi"/>
          <w:b/>
          <w:lang w:val="en-GB"/>
        </w:rPr>
        <w:t>Two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="0085067C" w:rsidRPr="00827F76">
        <w:rPr>
          <w:rFonts w:asciiTheme="majorHAnsi" w:hAnsiTheme="majorHAnsi"/>
          <w:b/>
          <w:lang w:val="en-GB"/>
        </w:rPr>
        <w:t>fa</w:t>
      </w:r>
      <w:r w:rsidR="00FE2042" w:rsidRPr="00827F76">
        <w:rPr>
          <w:rFonts w:asciiTheme="majorHAnsi" w:hAnsiTheme="majorHAnsi"/>
          <w:b/>
          <w:lang w:val="en-GB"/>
        </w:rPr>
        <w:t>c</w:t>
      </w:r>
      <w:r w:rsidR="0085067C" w:rsidRPr="00827F76">
        <w:rPr>
          <w:rFonts w:asciiTheme="majorHAnsi" w:hAnsiTheme="majorHAnsi"/>
          <w:b/>
          <w:lang w:val="en-GB"/>
        </w:rPr>
        <w:t>tor</w:t>
      </w:r>
      <w:r w:rsidR="00FE2042" w:rsidRPr="00827F76">
        <w:rPr>
          <w:rFonts w:asciiTheme="majorHAnsi" w:hAnsiTheme="majorHAnsi"/>
          <w:b/>
          <w:lang w:val="en-GB"/>
        </w:rPr>
        <w:t>s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="00FE2042" w:rsidRPr="00827F76">
        <w:rPr>
          <w:rFonts w:asciiTheme="majorHAnsi" w:hAnsiTheme="majorHAnsi"/>
          <w:lang w:val="en-GB"/>
        </w:rPr>
        <w:t>in particular</w:t>
      </w:r>
      <w:r w:rsidR="00FE2042" w:rsidRPr="00827F76">
        <w:rPr>
          <w:rFonts w:asciiTheme="majorHAnsi" w:hAnsiTheme="majorHAnsi"/>
          <w:b/>
          <w:lang w:val="en-GB"/>
        </w:rPr>
        <w:t xml:space="preserve"> </w:t>
      </w:r>
      <w:r w:rsidR="0085067C" w:rsidRPr="00827F76">
        <w:rPr>
          <w:rFonts w:asciiTheme="majorHAnsi" w:hAnsiTheme="majorHAnsi"/>
          <w:b/>
          <w:lang w:val="en-GB"/>
        </w:rPr>
        <w:t>ha</w:t>
      </w:r>
      <w:r w:rsidR="00FE2042" w:rsidRPr="00827F76">
        <w:rPr>
          <w:rFonts w:asciiTheme="majorHAnsi" w:hAnsiTheme="majorHAnsi"/>
          <w:b/>
          <w:lang w:val="en-GB"/>
        </w:rPr>
        <w:t xml:space="preserve">ve sustained companies </w:t>
      </w:r>
      <w:r w:rsidR="00FE2042" w:rsidRPr="00827F76">
        <w:rPr>
          <w:rFonts w:asciiTheme="majorHAnsi" w:hAnsiTheme="majorHAnsi"/>
          <w:lang w:val="en-GB"/>
        </w:rPr>
        <w:t xml:space="preserve">in a complex economic scenario marked by continuing distress in the internal market - the development of overseas markets and the always positive </w:t>
      </w:r>
      <w:r w:rsidR="0085067C" w:rsidRPr="00827F76">
        <w:rPr>
          <w:rFonts w:asciiTheme="majorHAnsi" w:hAnsiTheme="majorHAnsi"/>
          <w:lang w:val="en-GB"/>
        </w:rPr>
        <w:t xml:space="preserve">trend </w:t>
      </w:r>
      <w:r w:rsidR="00FE2042" w:rsidRPr="00827F76">
        <w:rPr>
          <w:rFonts w:asciiTheme="majorHAnsi" w:hAnsiTheme="majorHAnsi"/>
          <w:lang w:val="en-GB"/>
        </w:rPr>
        <w:t>in building renovations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="00FE2042" w:rsidRPr="00827F76">
        <w:rPr>
          <w:rFonts w:asciiTheme="majorHAnsi" w:hAnsiTheme="majorHAnsi"/>
          <w:lang w:val="en-GB"/>
        </w:rPr>
        <w:t>in Italy</w:t>
      </w:r>
      <w:r w:rsidR="0085067C" w:rsidRPr="00827F76">
        <w:rPr>
          <w:rFonts w:asciiTheme="majorHAnsi" w:hAnsiTheme="majorHAnsi"/>
          <w:lang w:val="en-GB"/>
        </w:rPr>
        <w:t>.</w:t>
      </w:r>
      <w:r w:rsidR="00FE2042" w:rsidRPr="00827F76">
        <w:rPr>
          <w:rFonts w:asciiTheme="majorHAnsi" w:hAnsiTheme="majorHAnsi"/>
          <w:lang w:val="en-GB"/>
        </w:rPr>
        <w:t xml:space="preserve"> According to the most recent data released by the </w:t>
      </w:r>
      <w:r w:rsidR="0085067C" w:rsidRPr="00827F76">
        <w:rPr>
          <w:rFonts w:asciiTheme="majorHAnsi" w:hAnsiTheme="majorHAnsi"/>
          <w:i/>
          <w:lang w:val="en-GB"/>
        </w:rPr>
        <w:t>Centro Studi Federlegno Arredo Eventi</w:t>
      </w:r>
      <w:r w:rsidR="0085067C" w:rsidRPr="00827F76">
        <w:rPr>
          <w:rFonts w:asciiTheme="majorHAnsi" w:hAnsiTheme="majorHAnsi"/>
          <w:lang w:val="en-GB"/>
        </w:rPr>
        <w:t xml:space="preserve">, </w:t>
      </w:r>
      <w:r w:rsidR="004543DB" w:rsidRPr="00827F76">
        <w:rPr>
          <w:rFonts w:asciiTheme="majorHAnsi" w:hAnsiTheme="majorHAnsi"/>
          <w:lang w:val="en-GB"/>
        </w:rPr>
        <w:t xml:space="preserve">in the first quarter 2014, </w:t>
      </w:r>
      <w:r w:rsidR="00FE2042" w:rsidRPr="00827F76">
        <w:rPr>
          <w:rFonts w:asciiTheme="majorHAnsi" w:hAnsiTheme="majorHAnsi"/>
          <w:b/>
          <w:lang w:val="en-GB"/>
        </w:rPr>
        <w:t xml:space="preserve">exports in bathroom furniture </w:t>
      </w:r>
      <w:r w:rsidR="004543DB" w:rsidRPr="00827F76">
        <w:rPr>
          <w:rFonts w:asciiTheme="majorHAnsi" w:hAnsiTheme="majorHAnsi"/>
          <w:lang w:val="en-GB"/>
        </w:rPr>
        <w:t xml:space="preserve">showed an </w:t>
      </w:r>
      <w:r w:rsidR="0085067C" w:rsidRPr="00827F76">
        <w:rPr>
          <w:rFonts w:asciiTheme="majorHAnsi" w:hAnsiTheme="majorHAnsi"/>
          <w:b/>
          <w:lang w:val="en-GB"/>
        </w:rPr>
        <w:t>incre</w:t>
      </w:r>
      <w:r w:rsidR="004543DB" w:rsidRPr="00827F76">
        <w:rPr>
          <w:rFonts w:asciiTheme="majorHAnsi" w:hAnsiTheme="majorHAnsi"/>
          <w:b/>
          <w:lang w:val="en-GB"/>
        </w:rPr>
        <w:t xml:space="preserve">ase of </w:t>
      </w:r>
      <w:r w:rsidR="0085067C" w:rsidRPr="00827F76">
        <w:rPr>
          <w:rFonts w:asciiTheme="majorHAnsi" w:hAnsiTheme="majorHAnsi"/>
          <w:b/>
          <w:lang w:val="en-GB"/>
        </w:rPr>
        <w:t>1</w:t>
      </w:r>
      <w:r w:rsidR="004543DB" w:rsidRPr="00827F76">
        <w:rPr>
          <w:rFonts w:asciiTheme="majorHAnsi" w:hAnsiTheme="majorHAnsi"/>
          <w:b/>
          <w:lang w:val="en-GB"/>
        </w:rPr>
        <w:t>.</w:t>
      </w:r>
      <w:r w:rsidR="0085067C" w:rsidRPr="00827F76">
        <w:rPr>
          <w:rFonts w:asciiTheme="majorHAnsi" w:hAnsiTheme="majorHAnsi"/>
          <w:b/>
          <w:lang w:val="en-GB"/>
        </w:rPr>
        <w:t>3%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="004543DB" w:rsidRPr="00827F76">
        <w:rPr>
          <w:rFonts w:asciiTheme="majorHAnsi" w:hAnsiTheme="majorHAnsi"/>
          <w:lang w:val="en-GB"/>
        </w:rPr>
        <w:t>in comparison with the same period of the previous year</w:t>
      </w:r>
      <w:r w:rsidR="0085067C" w:rsidRPr="00827F76">
        <w:rPr>
          <w:rFonts w:asciiTheme="majorHAnsi" w:hAnsiTheme="majorHAnsi"/>
          <w:lang w:val="en-GB"/>
        </w:rPr>
        <w:t xml:space="preserve">, </w:t>
      </w:r>
      <w:r w:rsidR="004543DB" w:rsidRPr="00827F76">
        <w:rPr>
          <w:rFonts w:asciiTheme="majorHAnsi" w:hAnsiTheme="majorHAnsi"/>
          <w:lang w:val="en-GB"/>
        </w:rPr>
        <w:t xml:space="preserve">giving an overall turnover of Euro </w:t>
      </w:r>
      <w:r w:rsidR="0085067C" w:rsidRPr="00827F76">
        <w:rPr>
          <w:rFonts w:asciiTheme="majorHAnsi" w:hAnsiTheme="majorHAnsi"/>
          <w:lang w:val="en-GB"/>
        </w:rPr>
        <w:t>213</w:t>
      </w:r>
      <w:r w:rsidR="004543DB" w:rsidRPr="00827F76">
        <w:rPr>
          <w:rFonts w:asciiTheme="majorHAnsi" w:hAnsiTheme="majorHAnsi"/>
          <w:lang w:val="en-GB"/>
        </w:rPr>
        <w:t>.</w:t>
      </w:r>
      <w:r w:rsidR="0085067C" w:rsidRPr="00827F76">
        <w:rPr>
          <w:rFonts w:asciiTheme="majorHAnsi" w:hAnsiTheme="majorHAnsi"/>
          <w:lang w:val="en-GB"/>
        </w:rPr>
        <w:t xml:space="preserve">10 </w:t>
      </w:r>
      <w:r w:rsidR="004543DB" w:rsidRPr="00827F76">
        <w:rPr>
          <w:rFonts w:asciiTheme="majorHAnsi" w:hAnsiTheme="majorHAnsi"/>
          <w:lang w:val="en-GB"/>
        </w:rPr>
        <w:t>million</w:t>
      </w:r>
      <w:r w:rsidR="0085067C" w:rsidRPr="00827F76">
        <w:rPr>
          <w:rFonts w:asciiTheme="majorHAnsi" w:hAnsiTheme="majorHAnsi"/>
          <w:lang w:val="en-GB"/>
        </w:rPr>
        <w:t>.</w:t>
      </w:r>
      <w:r w:rsidR="00E418A6" w:rsidRPr="00827F76">
        <w:rPr>
          <w:rFonts w:asciiTheme="majorHAnsi" w:hAnsiTheme="majorHAnsi"/>
          <w:b/>
          <w:lang w:val="en-GB"/>
        </w:rPr>
        <w:t xml:space="preserve"> Mauro Guzzini, chairman of Assobagno</w:t>
      </w:r>
      <w:r w:rsidR="00E418A6" w:rsidRPr="00827F76">
        <w:rPr>
          <w:rFonts w:asciiTheme="majorHAnsi" w:hAnsiTheme="majorHAnsi"/>
          <w:lang w:val="en-GB"/>
        </w:rPr>
        <w:t xml:space="preserve">, underlined, </w:t>
      </w:r>
      <w:r w:rsidR="00E418A6" w:rsidRPr="00827F76">
        <w:rPr>
          <w:rFonts w:asciiTheme="majorHAnsi" w:hAnsiTheme="majorHAnsi"/>
          <w:i/>
          <w:lang w:val="en-GB"/>
        </w:rPr>
        <w:t>“Italian</w:t>
      </w:r>
      <w:r w:rsidR="0085067C" w:rsidRPr="00827F76">
        <w:rPr>
          <w:rFonts w:asciiTheme="majorHAnsi" w:hAnsiTheme="majorHAnsi"/>
          <w:i/>
          <w:lang w:val="en-GB"/>
        </w:rPr>
        <w:t xml:space="preserve"> </w:t>
      </w:r>
      <w:r w:rsidR="00E418A6" w:rsidRPr="00827F76">
        <w:rPr>
          <w:rFonts w:asciiTheme="majorHAnsi" w:hAnsiTheme="majorHAnsi"/>
          <w:i/>
          <w:lang w:val="en-GB"/>
        </w:rPr>
        <w:t xml:space="preserve">bathroom furniture companies are strongly pushing to increase </w:t>
      </w:r>
      <w:r w:rsidR="00257935" w:rsidRPr="00827F76">
        <w:rPr>
          <w:rFonts w:asciiTheme="majorHAnsi" w:hAnsiTheme="majorHAnsi"/>
          <w:i/>
          <w:lang w:val="en-GB"/>
        </w:rPr>
        <w:t>internationally</w:t>
      </w:r>
      <w:r w:rsidR="0085067C" w:rsidRPr="00827F76">
        <w:rPr>
          <w:rFonts w:asciiTheme="majorHAnsi" w:hAnsiTheme="majorHAnsi"/>
          <w:i/>
          <w:lang w:val="en-GB"/>
        </w:rPr>
        <w:t xml:space="preserve">. </w:t>
      </w:r>
      <w:r w:rsidR="00257935" w:rsidRPr="00827F76">
        <w:rPr>
          <w:rFonts w:asciiTheme="majorHAnsi" w:hAnsiTheme="majorHAnsi"/>
          <w:i/>
          <w:lang w:val="en-GB"/>
        </w:rPr>
        <w:t>In the early months of the year</w:t>
      </w:r>
      <w:r w:rsidR="0085067C" w:rsidRPr="00827F76">
        <w:rPr>
          <w:rFonts w:asciiTheme="majorHAnsi" w:hAnsiTheme="majorHAnsi"/>
          <w:i/>
          <w:lang w:val="en-GB"/>
        </w:rPr>
        <w:t xml:space="preserve">, </w:t>
      </w:r>
      <w:r w:rsidR="00257935" w:rsidRPr="00827F76">
        <w:rPr>
          <w:rFonts w:asciiTheme="majorHAnsi" w:hAnsiTheme="majorHAnsi"/>
          <w:i/>
          <w:lang w:val="en-GB"/>
        </w:rPr>
        <w:t>we recorded encouraging signs from the EU markets in particular</w:t>
      </w:r>
      <w:r w:rsidR="0085067C" w:rsidRPr="00827F76">
        <w:rPr>
          <w:rFonts w:asciiTheme="majorHAnsi" w:hAnsiTheme="majorHAnsi"/>
          <w:i/>
          <w:lang w:val="en-GB"/>
        </w:rPr>
        <w:t xml:space="preserve">, </w:t>
      </w:r>
      <w:r w:rsidR="00257935" w:rsidRPr="00827F76">
        <w:rPr>
          <w:rFonts w:asciiTheme="majorHAnsi" w:hAnsiTheme="majorHAnsi"/>
          <w:i/>
          <w:lang w:val="en-GB"/>
        </w:rPr>
        <w:t>like Germany, Spain</w:t>
      </w:r>
      <w:r w:rsidR="0085067C" w:rsidRPr="00827F76">
        <w:rPr>
          <w:rFonts w:asciiTheme="majorHAnsi" w:hAnsiTheme="majorHAnsi"/>
          <w:i/>
          <w:lang w:val="en-GB"/>
        </w:rPr>
        <w:t xml:space="preserve">, </w:t>
      </w:r>
      <w:r w:rsidR="00257935" w:rsidRPr="00827F76">
        <w:rPr>
          <w:rFonts w:asciiTheme="majorHAnsi" w:hAnsiTheme="majorHAnsi"/>
          <w:i/>
          <w:lang w:val="en-GB"/>
        </w:rPr>
        <w:t>Belgium</w:t>
      </w:r>
      <w:r w:rsidR="0085067C" w:rsidRPr="00827F76">
        <w:rPr>
          <w:rFonts w:asciiTheme="majorHAnsi" w:hAnsiTheme="majorHAnsi"/>
          <w:i/>
          <w:lang w:val="en-GB"/>
        </w:rPr>
        <w:t xml:space="preserve">, </w:t>
      </w:r>
      <w:r w:rsidR="00257935" w:rsidRPr="00827F76">
        <w:rPr>
          <w:rFonts w:asciiTheme="majorHAnsi" w:hAnsiTheme="majorHAnsi"/>
          <w:i/>
          <w:lang w:val="en-GB"/>
        </w:rPr>
        <w:t>Poland and The Netherlands</w:t>
      </w:r>
      <w:r w:rsidR="0085067C" w:rsidRPr="00827F76">
        <w:rPr>
          <w:rFonts w:asciiTheme="majorHAnsi" w:hAnsiTheme="majorHAnsi"/>
          <w:i/>
          <w:lang w:val="en-GB"/>
        </w:rPr>
        <w:t xml:space="preserve">. </w:t>
      </w:r>
      <w:r w:rsidR="00257935" w:rsidRPr="00827F76">
        <w:rPr>
          <w:rFonts w:asciiTheme="majorHAnsi" w:hAnsiTheme="majorHAnsi"/>
          <w:i/>
          <w:lang w:val="en-GB"/>
        </w:rPr>
        <w:t xml:space="preserve">Although not yet a relevant marketplace in absolute terms, </w:t>
      </w:r>
      <w:r w:rsidRPr="00827F76">
        <w:rPr>
          <w:rFonts w:asciiTheme="majorHAnsi" w:hAnsiTheme="majorHAnsi"/>
          <w:i/>
          <w:lang w:val="en-GB"/>
        </w:rPr>
        <w:t>China</w:t>
      </w:r>
      <w:r w:rsidR="0085067C" w:rsidRPr="00827F76">
        <w:rPr>
          <w:rFonts w:asciiTheme="majorHAnsi" w:hAnsiTheme="majorHAnsi"/>
          <w:i/>
          <w:lang w:val="en-GB"/>
        </w:rPr>
        <w:t xml:space="preserve"> </w:t>
      </w:r>
      <w:r w:rsidR="00257935" w:rsidRPr="00827F76">
        <w:rPr>
          <w:rFonts w:asciiTheme="majorHAnsi" w:hAnsiTheme="majorHAnsi"/>
          <w:i/>
          <w:lang w:val="en-GB"/>
        </w:rPr>
        <w:t>is showing, month by month, that it is a particularly receptive market for the quality</w:t>
      </w:r>
      <w:r w:rsidR="0085067C" w:rsidRPr="00827F76">
        <w:rPr>
          <w:rFonts w:asciiTheme="majorHAnsi" w:hAnsiTheme="majorHAnsi"/>
          <w:i/>
          <w:lang w:val="en-GB"/>
        </w:rPr>
        <w:t xml:space="preserve"> </w:t>
      </w:r>
      <w:r w:rsidR="00257935" w:rsidRPr="00827F76">
        <w:rPr>
          <w:rFonts w:asciiTheme="majorHAnsi" w:hAnsiTheme="majorHAnsi"/>
          <w:i/>
          <w:lang w:val="en-GB"/>
        </w:rPr>
        <w:t>of our products</w:t>
      </w:r>
      <w:r w:rsidR="0085067C" w:rsidRPr="00827F76">
        <w:rPr>
          <w:rFonts w:asciiTheme="majorHAnsi" w:hAnsiTheme="majorHAnsi"/>
          <w:i/>
          <w:lang w:val="en-GB"/>
        </w:rPr>
        <w:t xml:space="preserve">, </w:t>
      </w:r>
      <w:r w:rsidR="00257935" w:rsidRPr="00827F76">
        <w:rPr>
          <w:rFonts w:asciiTheme="majorHAnsi" w:hAnsiTheme="majorHAnsi"/>
          <w:i/>
          <w:lang w:val="en-GB"/>
        </w:rPr>
        <w:t xml:space="preserve">with growth of more than 20% in the first quarter </w:t>
      </w:r>
      <w:r w:rsidR="0085067C" w:rsidRPr="00827F76">
        <w:rPr>
          <w:rFonts w:asciiTheme="majorHAnsi" w:hAnsiTheme="majorHAnsi"/>
          <w:i/>
          <w:lang w:val="en-GB"/>
        </w:rPr>
        <w:t xml:space="preserve">in </w:t>
      </w:r>
      <w:r w:rsidR="00257935" w:rsidRPr="00827F76">
        <w:rPr>
          <w:rFonts w:asciiTheme="majorHAnsi" w:hAnsiTheme="majorHAnsi"/>
          <w:i/>
          <w:lang w:val="en-GB"/>
        </w:rPr>
        <w:t>particular</w:t>
      </w:r>
      <w:r w:rsidR="0085067C" w:rsidRPr="00827F76">
        <w:rPr>
          <w:rFonts w:asciiTheme="majorHAnsi" w:hAnsiTheme="majorHAnsi"/>
          <w:i/>
          <w:lang w:val="en-GB"/>
        </w:rPr>
        <w:t>.</w:t>
      </w:r>
      <w:r w:rsidR="00257935" w:rsidRPr="00827F76">
        <w:rPr>
          <w:rFonts w:asciiTheme="majorHAnsi" w:hAnsiTheme="majorHAnsi"/>
          <w:i/>
          <w:lang w:val="en-GB"/>
        </w:rPr>
        <w:t>”</w:t>
      </w:r>
    </w:p>
    <w:p w:rsidR="00AA4D51" w:rsidRPr="00827F76" w:rsidRDefault="00AA4D51" w:rsidP="0085067C">
      <w:pPr>
        <w:ind w:left="2268" w:right="134"/>
        <w:rPr>
          <w:rFonts w:asciiTheme="majorHAnsi" w:hAnsiTheme="majorHAnsi"/>
          <w:b/>
          <w:lang w:val="en-GB"/>
        </w:rPr>
      </w:pPr>
    </w:p>
    <w:p w:rsidR="00CF76C1" w:rsidRDefault="00D40206" w:rsidP="00815BC4">
      <w:pPr>
        <w:ind w:left="2268" w:right="134"/>
        <w:jc w:val="both"/>
        <w:rPr>
          <w:rFonts w:asciiTheme="majorHAnsi" w:hAnsiTheme="majorHAnsi"/>
          <w:lang w:val="en-GB"/>
        </w:rPr>
      </w:pPr>
      <w:r w:rsidRPr="00827F76">
        <w:rPr>
          <w:rFonts w:asciiTheme="majorHAnsi" w:hAnsiTheme="majorHAnsi"/>
          <w:b/>
          <w:lang w:val="en-GB"/>
        </w:rPr>
        <w:t>In the internal market</w:t>
      </w:r>
      <w:r w:rsidR="0085067C" w:rsidRPr="00827F76">
        <w:rPr>
          <w:rFonts w:asciiTheme="majorHAnsi" w:hAnsiTheme="majorHAnsi"/>
          <w:lang w:val="en-GB"/>
        </w:rPr>
        <w:t xml:space="preserve">, </w:t>
      </w:r>
      <w:r w:rsidRPr="00827F76">
        <w:rPr>
          <w:rFonts w:asciiTheme="majorHAnsi" w:hAnsiTheme="majorHAnsi"/>
          <w:lang w:val="en-GB"/>
        </w:rPr>
        <w:t xml:space="preserve">good news has come mainly from the </w:t>
      </w:r>
      <w:r w:rsidRPr="00827F76">
        <w:rPr>
          <w:rFonts w:asciiTheme="majorHAnsi" w:hAnsiTheme="majorHAnsi"/>
          <w:b/>
          <w:lang w:val="en-GB"/>
        </w:rPr>
        <w:t>building renovation</w:t>
      </w:r>
      <w:r w:rsidRPr="00827F76">
        <w:rPr>
          <w:rFonts w:asciiTheme="majorHAnsi" w:hAnsiTheme="majorHAnsi"/>
          <w:lang w:val="en-GB"/>
        </w:rPr>
        <w:t xml:space="preserve"> front</w:t>
      </w:r>
      <w:r w:rsidR="0085067C" w:rsidRPr="00827F76">
        <w:rPr>
          <w:rFonts w:asciiTheme="majorHAnsi" w:hAnsiTheme="majorHAnsi"/>
          <w:lang w:val="en-GB"/>
        </w:rPr>
        <w:t xml:space="preserve">, </w:t>
      </w:r>
      <w:r w:rsidRPr="00827F76">
        <w:rPr>
          <w:rFonts w:asciiTheme="majorHAnsi" w:hAnsiTheme="majorHAnsi"/>
          <w:lang w:val="en-GB"/>
        </w:rPr>
        <w:t>the only construction</w:t>
      </w:r>
      <w:r w:rsidR="0085067C" w:rsidRPr="00827F76">
        <w:rPr>
          <w:rFonts w:asciiTheme="majorHAnsi" w:hAnsiTheme="majorHAnsi"/>
          <w:lang w:val="en-GB"/>
        </w:rPr>
        <w:t xml:space="preserve"> se</w:t>
      </w:r>
      <w:r w:rsidRPr="00827F76">
        <w:rPr>
          <w:rFonts w:asciiTheme="majorHAnsi" w:hAnsiTheme="majorHAnsi"/>
          <w:lang w:val="en-GB"/>
        </w:rPr>
        <w:t>c</w:t>
      </w:r>
      <w:r w:rsidR="0085067C" w:rsidRPr="00827F76">
        <w:rPr>
          <w:rFonts w:asciiTheme="majorHAnsi" w:hAnsiTheme="majorHAnsi"/>
          <w:lang w:val="en-GB"/>
        </w:rPr>
        <w:t xml:space="preserve">tor </w:t>
      </w:r>
      <w:r w:rsidRPr="00827F76">
        <w:rPr>
          <w:rFonts w:asciiTheme="majorHAnsi" w:hAnsiTheme="majorHAnsi"/>
          <w:lang w:val="en-GB"/>
        </w:rPr>
        <w:t>in Italy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Pr="00827F76">
        <w:rPr>
          <w:rFonts w:asciiTheme="majorHAnsi" w:hAnsiTheme="majorHAnsi"/>
          <w:lang w:val="en-GB"/>
        </w:rPr>
        <w:t xml:space="preserve">to have shown a positive </w:t>
      </w:r>
      <w:r w:rsidR="0085067C" w:rsidRPr="00827F76">
        <w:rPr>
          <w:rFonts w:asciiTheme="majorHAnsi" w:hAnsiTheme="majorHAnsi"/>
          <w:lang w:val="en-GB"/>
        </w:rPr>
        <w:t xml:space="preserve">trend </w:t>
      </w:r>
      <w:r w:rsidRPr="00827F76">
        <w:rPr>
          <w:rFonts w:asciiTheme="majorHAnsi" w:hAnsiTheme="majorHAnsi"/>
          <w:lang w:val="en-GB"/>
        </w:rPr>
        <w:t xml:space="preserve">in recent years </w:t>
      </w:r>
      <w:r w:rsidR="0085067C" w:rsidRPr="00827F76">
        <w:rPr>
          <w:rFonts w:asciiTheme="majorHAnsi" w:hAnsiTheme="majorHAnsi"/>
          <w:lang w:val="en-GB"/>
        </w:rPr>
        <w:t xml:space="preserve">(+20% </w:t>
      </w:r>
      <w:r w:rsidRPr="00827F76">
        <w:rPr>
          <w:rFonts w:asciiTheme="majorHAnsi" w:hAnsiTheme="majorHAnsi"/>
          <w:lang w:val="en-GB"/>
        </w:rPr>
        <w:t>in 2008-</w:t>
      </w:r>
      <w:r w:rsidR="0085067C" w:rsidRPr="00827F76">
        <w:rPr>
          <w:rFonts w:asciiTheme="majorHAnsi" w:hAnsiTheme="majorHAnsi"/>
          <w:lang w:val="en-GB"/>
        </w:rPr>
        <w:t xml:space="preserve">2014). </w:t>
      </w:r>
      <w:r w:rsidRPr="00827F76">
        <w:rPr>
          <w:rFonts w:asciiTheme="majorHAnsi" w:hAnsiTheme="majorHAnsi"/>
          <w:b/>
          <w:lang w:val="en-GB"/>
        </w:rPr>
        <w:t xml:space="preserve">Growth in extraordinary maintenance of </w:t>
      </w:r>
      <w:r w:rsidR="0085067C" w:rsidRPr="00827F76">
        <w:rPr>
          <w:rFonts w:asciiTheme="majorHAnsi" w:hAnsiTheme="majorHAnsi"/>
          <w:b/>
          <w:lang w:val="en-GB"/>
        </w:rPr>
        <w:t>3%</w:t>
      </w:r>
      <w:r w:rsidRPr="00827F76">
        <w:rPr>
          <w:rFonts w:asciiTheme="majorHAnsi" w:hAnsiTheme="majorHAnsi"/>
          <w:lang w:val="en-GB"/>
        </w:rPr>
        <w:t xml:space="preserve"> is expected </w:t>
      </w:r>
    </w:p>
    <w:p w:rsidR="0085067C" w:rsidRPr="00BD71DD" w:rsidRDefault="00D40206" w:rsidP="00815BC4">
      <w:pPr>
        <w:ind w:left="2268" w:right="134"/>
        <w:jc w:val="both"/>
        <w:rPr>
          <w:rFonts w:asciiTheme="majorHAnsi" w:hAnsiTheme="majorHAnsi"/>
          <w:lang w:val="en-GB"/>
        </w:rPr>
      </w:pPr>
      <w:r w:rsidRPr="00827F76">
        <w:rPr>
          <w:rFonts w:asciiTheme="majorHAnsi" w:hAnsiTheme="majorHAnsi"/>
          <w:lang w:val="en-GB"/>
        </w:rPr>
        <w:lastRenderedPageBreak/>
        <w:t>for the current year</w:t>
      </w:r>
      <w:r w:rsidR="0085067C" w:rsidRPr="00827F76">
        <w:rPr>
          <w:rFonts w:asciiTheme="majorHAnsi" w:hAnsiTheme="majorHAnsi"/>
          <w:lang w:val="en-GB"/>
        </w:rPr>
        <w:t>, dat</w:t>
      </w:r>
      <w:r w:rsidRPr="00827F76">
        <w:rPr>
          <w:rFonts w:asciiTheme="majorHAnsi" w:hAnsiTheme="majorHAnsi"/>
          <w:lang w:val="en-GB"/>
        </w:rPr>
        <w:t>a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Pr="00827F76">
        <w:rPr>
          <w:rFonts w:asciiTheme="majorHAnsi" w:hAnsiTheme="majorHAnsi"/>
          <w:lang w:val="en-GB"/>
        </w:rPr>
        <w:t>which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Pr="00827F76">
        <w:rPr>
          <w:rFonts w:asciiTheme="majorHAnsi" w:hAnsiTheme="majorHAnsi"/>
          <w:lang w:val="en-GB"/>
        </w:rPr>
        <w:t>confirms the positive impact</w:t>
      </w:r>
      <w:r w:rsidR="0085067C" w:rsidRPr="00827F76">
        <w:rPr>
          <w:rFonts w:asciiTheme="majorHAnsi" w:hAnsiTheme="majorHAnsi"/>
          <w:lang w:val="en-GB"/>
        </w:rPr>
        <w:t xml:space="preserve"> </w:t>
      </w:r>
      <w:r w:rsidRPr="00827F76">
        <w:rPr>
          <w:rFonts w:asciiTheme="majorHAnsi" w:hAnsiTheme="majorHAnsi"/>
          <w:lang w:val="en-GB"/>
        </w:rPr>
        <w:t xml:space="preserve">of the tax measures </w:t>
      </w:r>
      <w:r w:rsidRPr="00BD71DD">
        <w:rPr>
          <w:rFonts w:asciiTheme="majorHAnsi" w:hAnsiTheme="majorHAnsi"/>
          <w:lang w:val="en-GB"/>
        </w:rPr>
        <w:t xml:space="preserve">adopted </w:t>
      </w:r>
      <w:r w:rsidR="0085067C" w:rsidRPr="00BD71DD">
        <w:rPr>
          <w:rFonts w:asciiTheme="majorHAnsi" w:hAnsiTheme="majorHAnsi"/>
          <w:lang w:val="en-GB"/>
        </w:rPr>
        <w:t xml:space="preserve">in </w:t>
      </w:r>
      <w:r w:rsidR="00274A2C" w:rsidRPr="00BD71DD">
        <w:rPr>
          <w:rFonts w:asciiTheme="majorHAnsi" w:hAnsiTheme="majorHAnsi"/>
          <w:lang w:val="en-GB"/>
        </w:rPr>
        <w:t xml:space="preserve">recent years and especially the </w:t>
      </w:r>
      <w:r w:rsidR="0085067C" w:rsidRPr="00BD71DD">
        <w:rPr>
          <w:rFonts w:asciiTheme="majorHAnsi" w:hAnsiTheme="majorHAnsi"/>
          <w:b/>
          <w:lang w:val="en-GB"/>
        </w:rPr>
        <w:t xml:space="preserve">Bonus </w:t>
      </w:r>
      <w:r w:rsidR="00274A2C" w:rsidRPr="00BD71DD">
        <w:rPr>
          <w:rFonts w:asciiTheme="majorHAnsi" w:hAnsiTheme="majorHAnsi"/>
          <w:b/>
          <w:lang w:val="en-GB"/>
        </w:rPr>
        <w:t xml:space="preserve">of </w:t>
      </w:r>
      <w:r w:rsidR="0085067C" w:rsidRPr="00BD71DD">
        <w:rPr>
          <w:rFonts w:asciiTheme="majorHAnsi" w:hAnsiTheme="majorHAnsi"/>
          <w:b/>
          <w:lang w:val="en-GB"/>
        </w:rPr>
        <w:t xml:space="preserve">65% </w:t>
      </w:r>
      <w:r w:rsidR="00274A2C" w:rsidRPr="00BD71DD">
        <w:rPr>
          <w:rFonts w:asciiTheme="majorHAnsi" w:hAnsiTheme="majorHAnsi"/>
          <w:b/>
          <w:lang w:val="en-GB"/>
        </w:rPr>
        <w:t xml:space="preserve">for energy streamlining </w:t>
      </w:r>
      <w:r w:rsidR="00274A2C" w:rsidRPr="00BD71DD">
        <w:rPr>
          <w:rFonts w:asciiTheme="majorHAnsi" w:hAnsiTheme="majorHAnsi"/>
          <w:lang w:val="en-GB"/>
        </w:rPr>
        <w:t xml:space="preserve">and the </w:t>
      </w:r>
      <w:r w:rsidR="00B00174" w:rsidRPr="00BD71DD">
        <w:rPr>
          <w:rFonts w:asciiTheme="majorHAnsi" w:hAnsiTheme="majorHAnsi"/>
          <w:b/>
          <w:lang w:val="en-GB"/>
        </w:rPr>
        <w:t>Furniture</w:t>
      </w:r>
      <w:r w:rsidR="00274A2C" w:rsidRPr="00BD71DD">
        <w:rPr>
          <w:rFonts w:asciiTheme="majorHAnsi" w:hAnsiTheme="majorHAnsi"/>
          <w:b/>
          <w:lang w:val="en-GB"/>
        </w:rPr>
        <w:t xml:space="preserve"> </w:t>
      </w:r>
      <w:r w:rsidR="0085067C" w:rsidRPr="00BD71DD">
        <w:rPr>
          <w:rFonts w:asciiTheme="majorHAnsi" w:hAnsiTheme="majorHAnsi"/>
          <w:b/>
          <w:lang w:val="en-GB"/>
        </w:rPr>
        <w:t xml:space="preserve">Bonus </w:t>
      </w:r>
      <w:r w:rsidR="00274A2C" w:rsidRPr="00BD71DD">
        <w:rPr>
          <w:rFonts w:asciiTheme="majorHAnsi" w:hAnsiTheme="majorHAnsi"/>
          <w:b/>
          <w:lang w:val="en-GB"/>
        </w:rPr>
        <w:t xml:space="preserve">of </w:t>
      </w:r>
      <w:r w:rsidR="0085067C" w:rsidRPr="00BD71DD">
        <w:rPr>
          <w:rFonts w:asciiTheme="majorHAnsi" w:hAnsiTheme="majorHAnsi"/>
          <w:b/>
          <w:lang w:val="en-GB"/>
        </w:rPr>
        <w:t>50%</w:t>
      </w:r>
      <w:r w:rsidR="0085067C" w:rsidRPr="00BD71DD">
        <w:rPr>
          <w:rFonts w:asciiTheme="majorHAnsi" w:hAnsiTheme="majorHAnsi"/>
          <w:lang w:val="en-GB"/>
        </w:rPr>
        <w:t>.</w:t>
      </w:r>
    </w:p>
    <w:p w:rsidR="0085067C" w:rsidRPr="00BD71DD" w:rsidRDefault="0085067C" w:rsidP="00815BC4">
      <w:pPr>
        <w:ind w:left="2268" w:right="134"/>
        <w:jc w:val="both"/>
        <w:rPr>
          <w:rFonts w:asciiTheme="majorHAnsi" w:hAnsiTheme="majorHAnsi"/>
          <w:lang w:val="en-GB"/>
        </w:rPr>
      </w:pPr>
    </w:p>
    <w:p w:rsidR="0085067C" w:rsidRPr="00BD71DD" w:rsidRDefault="0085067C" w:rsidP="00815BC4">
      <w:pPr>
        <w:ind w:left="2268" w:right="134"/>
        <w:jc w:val="both"/>
        <w:rPr>
          <w:rFonts w:asciiTheme="majorHAnsi" w:hAnsiTheme="majorHAnsi"/>
          <w:lang w:val="en-GB"/>
        </w:rPr>
      </w:pPr>
    </w:p>
    <w:p w:rsidR="00BD71DD" w:rsidRPr="00BD71DD" w:rsidRDefault="00BD71DD" w:rsidP="00815BC4">
      <w:pPr>
        <w:ind w:left="2268" w:right="134"/>
        <w:jc w:val="both"/>
        <w:rPr>
          <w:rFonts w:asciiTheme="majorHAnsi" w:hAnsiTheme="majorHAnsi"/>
          <w:lang w:val="en-GB"/>
        </w:rPr>
      </w:pPr>
    </w:p>
    <w:p w:rsidR="0085067C" w:rsidRPr="00BD71DD" w:rsidRDefault="0085021A" w:rsidP="00815BC4">
      <w:pPr>
        <w:ind w:left="2268"/>
        <w:jc w:val="both"/>
        <w:rPr>
          <w:rFonts w:asciiTheme="majorHAnsi" w:hAnsiTheme="majorHAnsi"/>
          <w:b/>
          <w:sz w:val="28"/>
          <w:szCs w:val="28"/>
          <w:lang w:val="en-GB"/>
        </w:rPr>
      </w:pPr>
      <w:r w:rsidRPr="00BD71DD">
        <w:rPr>
          <w:rFonts w:asciiTheme="majorHAnsi" w:hAnsiTheme="majorHAnsi"/>
          <w:b/>
          <w:sz w:val="28"/>
          <w:szCs w:val="28"/>
          <w:lang w:val="en-GB"/>
        </w:rPr>
        <w:t>Italian</w:t>
      </w:r>
      <w:r w:rsidR="0085067C" w:rsidRPr="00BD71DD">
        <w:rPr>
          <w:rFonts w:asciiTheme="majorHAnsi" w:hAnsiTheme="majorHAnsi"/>
          <w:b/>
          <w:sz w:val="28"/>
          <w:szCs w:val="28"/>
          <w:lang w:val="en-GB"/>
        </w:rPr>
        <w:t xml:space="preserve"> </w:t>
      </w:r>
      <w:r w:rsidRPr="00BD71DD">
        <w:rPr>
          <w:rFonts w:asciiTheme="majorHAnsi" w:hAnsiTheme="majorHAnsi"/>
          <w:b/>
          <w:sz w:val="28"/>
          <w:szCs w:val="28"/>
          <w:lang w:val="en-GB"/>
        </w:rPr>
        <w:t xml:space="preserve">exports </w:t>
      </w:r>
      <w:r w:rsidR="00E418A6" w:rsidRPr="00BD71DD">
        <w:rPr>
          <w:rFonts w:asciiTheme="majorHAnsi" w:hAnsiTheme="majorHAnsi"/>
          <w:b/>
          <w:sz w:val="28"/>
          <w:szCs w:val="28"/>
          <w:lang w:val="en-GB"/>
        </w:rPr>
        <w:t>by country of destination</w:t>
      </w:r>
      <w:r w:rsidR="0085067C" w:rsidRPr="00BD71DD">
        <w:rPr>
          <w:rFonts w:asciiTheme="majorHAnsi" w:hAnsiTheme="majorHAnsi"/>
          <w:b/>
          <w:sz w:val="28"/>
          <w:szCs w:val="28"/>
          <w:lang w:val="en-GB"/>
        </w:rPr>
        <w:t xml:space="preserve"> </w:t>
      </w:r>
      <w:r w:rsidR="00E418A6" w:rsidRPr="00BD71DD">
        <w:rPr>
          <w:rFonts w:asciiTheme="majorHAnsi" w:hAnsiTheme="majorHAnsi"/>
          <w:b/>
          <w:sz w:val="28"/>
          <w:szCs w:val="28"/>
          <w:lang w:val="en-GB"/>
        </w:rPr>
        <w:t>January</w:t>
      </w:r>
      <w:r w:rsidR="0085067C" w:rsidRPr="00BD71DD">
        <w:rPr>
          <w:rFonts w:asciiTheme="majorHAnsi" w:hAnsiTheme="majorHAnsi"/>
          <w:b/>
          <w:sz w:val="28"/>
          <w:szCs w:val="28"/>
          <w:lang w:val="en-GB"/>
        </w:rPr>
        <w:t>-Mar</w:t>
      </w:r>
      <w:r w:rsidR="00E418A6" w:rsidRPr="00BD71DD">
        <w:rPr>
          <w:rFonts w:asciiTheme="majorHAnsi" w:hAnsiTheme="majorHAnsi"/>
          <w:b/>
          <w:sz w:val="28"/>
          <w:szCs w:val="28"/>
          <w:lang w:val="en-GB"/>
        </w:rPr>
        <w:t>ch</w:t>
      </w:r>
      <w:r w:rsidR="0085067C" w:rsidRPr="00BD71DD">
        <w:rPr>
          <w:rFonts w:asciiTheme="majorHAnsi" w:hAnsiTheme="majorHAnsi"/>
          <w:b/>
          <w:sz w:val="28"/>
          <w:szCs w:val="28"/>
          <w:lang w:val="en-GB"/>
        </w:rPr>
        <w:t xml:space="preserve"> 2014</w:t>
      </w:r>
    </w:p>
    <w:p w:rsidR="0085067C" w:rsidRPr="00BD71DD" w:rsidRDefault="0085067C" w:rsidP="00815BC4">
      <w:pPr>
        <w:ind w:left="2268" w:right="134"/>
        <w:jc w:val="both"/>
        <w:rPr>
          <w:rFonts w:asciiTheme="majorHAnsi" w:hAnsiTheme="majorHAnsi"/>
          <w:sz w:val="22"/>
          <w:szCs w:val="22"/>
          <w:lang w:val="en-GB"/>
        </w:rPr>
      </w:pPr>
      <w:r w:rsidRPr="00BD71DD">
        <w:rPr>
          <w:rFonts w:asciiTheme="majorHAnsi" w:hAnsiTheme="majorHAnsi"/>
          <w:sz w:val="22"/>
          <w:szCs w:val="22"/>
          <w:lang w:val="en-GB"/>
        </w:rPr>
        <w:t xml:space="preserve">% </w:t>
      </w:r>
      <w:r w:rsidR="00E418A6" w:rsidRPr="00BD71DD">
        <w:rPr>
          <w:rFonts w:asciiTheme="majorHAnsi" w:hAnsiTheme="majorHAnsi"/>
          <w:sz w:val="22"/>
          <w:szCs w:val="22"/>
          <w:lang w:val="en-GB"/>
        </w:rPr>
        <w:t xml:space="preserve">variation compared to the corresponding period in the previous year. </w:t>
      </w:r>
      <w:r w:rsidRPr="00BD71DD">
        <w:rPr>
          <w:rFonts w:asciiTheme="majorHAnsi" w:hAnsiTheme="majorHAnsi"/>
          <w:sz w:val="22"/>
          <w:szCs w:val="22"/>
          <w:lang w:val="en-GB"/>
        </w:rPr>
        <w:t xml:space="preserve">2014 </w:t>
      </w:r>
      <w:r w:rsidR="00E418A6" w:rsidRPr="00BD71DD">
        <w:rPr>
          <w:rFonts w:asciiTheme="majorHAnsi" w:hAnsiTheme="majorHAnsi"/>
          <w:sz w:val="22"/>
          <w:szCs w:val="22"/>
          <w:lang w:val="en-GB"/>
        </w:rPr>
        <w:t xml:space="preserve">data </w:t>
      </w:r>
      <w:r w:rsidRPr="00BD71DD">
        <w:rPr>
          <w:rFonts w:asciiTheme="majorHAnsi" w:hAnsiTheme="majorHAnsi"/>
          <w:sz w:val="22"/>
          <w:szCs w:val="22"/>
          <w:lang w:val="en-GB"/>
        </w:rPr>
        <w:t>provisi</w:t>
      </w:r>
      <w:r w:rsidR="00E418A6" w:rsidRPr="00BD71DD">
        <w:rPr>
          <w:rFonts w:asciiTheme="majorHAnsi" w:hAnsiTheme="majorHAnsi"/>
          <w:sz w:val="22"/>
          <w:szCs w:val="22"/>
          <w:lang w:val="en-GB"/>
        </w:rPr>
        <w:t>onal,</w:t>
      </w:r>
      <w:r w:rsidRPr="00BD71DD">
        <w:rPr>
          <w:rFonts w:asciiTheme="majorHAnsi" w:hAnsiTheme="majorHAnsi"/>
          <w:sz w:val="22"/>
          <w:szCs w:val="22"/>
          <w:lang w:val="en-GB"/>
        </w:rPr>
        <w:t xml:space="preserve"> 2013 </w:t>
      </w:r>
      <w:r w:rsidR="00E418A6" w:rsidRPr="00BD71DD">
        <w:rPr>
          <w:rFonts w:asciiTheme="majorHAnsi" w:hAnsiTheme="majorHAnsi"/>
          <w:sz w:val="22"/>
          <w:szCs w:val="22"/>
          <w:lang w:val="en-GB"/>
        </w:rPr>
        <w:t>data revised</w:t>
      </w:r>
      <w:r w:rsidRPr="00BD71DD">
        <w:rPr>
          <w:rFonts w:asciiTheme="majorHAnsi" w:hAnsiTheme="majorHAnsi"/>
          <w:sz w:val="22"/>
          <w:szCs w:val="22"/>
          <w:lang w:val="en-GB"/>
        </w:rPr>
        <w:t>.</w:t>
      </w:r>
    </w:p>
    <w:p w:rsidR="0085067C" w:rsidRPr="00BD71DD" w:rsidRDefault="0085067C" w:rsidP="0085067C">
      <w:pPr>
        <w:ind w:left="2268" w:right="134"/>
        <w:rPr>
          <w:rFonts w:asciiTheme="majorHAnsi" w:hAnsiTheme="majorHAnsi"/>
          <w:lang w:val="en-GB"/>
        </w:rPr>
      </w:pPr>
    </w:p>
    <w:tbl>
      <w:tblPr>
        <w:tblW w:w="8222" w:type="dxa"/>
        <w:tblInd w:w="2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8"/>
        <w:gridCol w:w="3046"/>
        <w:gridCol w:w="1843"/>
        <w:gridCol w:w="992"/>
        <w:gridCol w:w="992"/>
        <w:gridCol w:w="851"/>
      </w:tblGrid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 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B23109" w:rsidP="00147BCE">
            <w:pPr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COUNTRY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Euro</w:t>
            </w:r>
            <w:r w:rsidR="00B23109" w:rsidRPr="00BD71DD">
              <w:rPr>
                <w:rFonts w:asciiTheme="majorHAnsi" w:hAnsiTheme="majorHAnsi"/>
                <w:b/>
                <w:lang w:val="en-GB"/>
              </w:rPr>
              <w:t xml:space="preserve">s (millions)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Var. 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Tonne</w:t>
            </w:r>
            <w:r w:rsidR="00B23109" w:rsidRPr="00BD71DD">
              <w:rPr>
                <w:rFonts w:asciiTheme="majorHAnsi" w:hAnsiTheme="majorHAnsi"/>
                <w:b/>
                <w:lang w:val="en-GB"/>
              </w:rPr>
              <w:t>s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Var. 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B23109" w:rsidP="00147BCE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France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85021A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35</w:t>
            </w:r>
            <w:r w:rsidR="0085021A" w:rsidRPr="00BD71DD">
              <w:rPr>
                <w:rFonts w:asciiTheme="majorHAnsi" w:hAnsiTheme="majorHAnsi"/>
                <w:lang w:val="en-GB"/>
              </w:rPr>
              <w:t>.</w:t>
            </w:r>
            <w:r w:rsidRPr="00BD71DD">
              <w:rPr>
                <w:rFonts w:asciiTheme="majorHAnsi" w:hAnsiTheme="majorHAnsi"/>
                <w:lang w:val="en-GB"/>
              </w:rPr>
              <w:t>59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85021A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-7</w:t>
            </w:r>
            <w:r w:rsidR="0085021A" w:rsidRPr="00BD71DD">
              <w:rPr>
                <w:rFonts w:asciiTheme="majorHAnsi" w:hAnsiTheme="majorHAnsi"/>
                <w:lang w:val="en-GB"/>
              </w:rPr>
              <w:t>.</w:t>
            </w:r>
            <w:r w:rsidRPr="00BD71DD">
              <w:rPr>
                <w:rFonts w:asciiTheme="majorHAnsi" w:hAnsiTheme="majorHAnsi"/>
                <w:lang w:val="en-GB"/>
              </w:rPr>
              <w:t>4%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85021A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6</w:t>
            </w:r>
            <w:r w:rsidR="0085021A" w:rsidRPr="00BD71DD">
              <w:rPr>
                <w:rFonts w:asciiTheme="majorHAnsi" w:hAnsiTheme="majorHAnsi"/>
                <w:lang w:val="en-GB"/>
              </w:rPr>
              <w:t>,</w:t>
            </w:r>
            <w:r w:rsidRPr="00BD71DD">
              <w:rPr>
                <w:rFonts w:asciiTheme="majorHAnsi" w:hAnsiTheme="majorHAnsi"/>
                <w:lang w:val="en-GB"/>
              </w:rPr>
              <w:t xml:space="preserve">818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85021A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-9</w:t>
            </w:r>
            <w:r w:rsidR="0085021A" w:rsidRPr="00BD71DD">
              <w:rPr>
                <w:rFonts w:asciiTheme="majorHAnsi" w:hAnsiTheme="majorHAnsi"/>
                <w:lang w:val="en-GB"/>
              </w:rPr>
              <w:t>.</w:t>
            </w:r>
            <w:r w:rsidRPr="00BD71DD">
              <w:rPr>
                <w:rFonts w:asciiTheme="majorHAnsi" w:hAnsiTheme="majorHAnsi"/>
                <w:lang w:val="en-GB"/>
              </w:rPr>
              <w:t>9%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German</w:t>
            </w:r>
            <w:r w:rsidR="00B23109" w:rsidRPr="00BD71DD">
              <w:rPr>
                <w:rFonts w:asciiTheme="majorHAnsi" w:hAnsiTheme="majorHAnsi"/>
                <w:lang w:val="en-GB"/>
              </w:rPr>
              <w:t>y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31.</w:t>
            </w:r>
            <w:r w:rsidR="0085067C" w:rsidRPr="00BD71DD">
              <w:rPr>
                <w:rFonts w:asciiTheme="majorHAnsi" w:hAnsiTheme="majorHAnsi"/>
                <w:lang w:val="en-GB"/>
              </w:rPr>
              <w:t>77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14.</w:t>
            </w:r>
            <w:r w:rsidR="0085067C" w:rsidRPr="00BD71DD">
              <w:rPr>
                <w:rFonts w:asciiTheme="majorHAnsi" w:hAnsiTheme="majorHAnsi"/>
                <w:lang w:val="en-GB"/>
              </w:rPr>
              <w:t>0%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7,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545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11.</w:t>
            </w:r>
            <w:r w:rsidR="0085067C" w:rsidRPr="00BD71DD">
              <w:rPr>
                <w:rFonts w:asciiTheme="majorHAnsi" w:hAnsiTheme="majorHAnsi"/>
                <w:lang w:val="en-GB"/>
              </w:rPr>
              <w:t>1%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Unit</w:t>
            </w:r>
            <w:r w:rsidR="00B23109" w:rsidRPr="00BD71DD">
              <w:rPr>
                <w:rFonts w:asciiTheme="majorHAnsi" w:hAnsiTheme="majorHAnsi"/>
                <w:lang w:val="en-GB"/>
              </w:rPr>
              <w:t>ed Kingdom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16.</w:t>
            </w:r>
            <w:r w:rsidR="0085067C" w:rsidRPr="00BD71DD">
              <w:rPr>
                <w:rFonts w:asciiTheme="majorHAnsi" w:hAnsiTheme="majorHAnsi"/>
                <w:lang w:val="en-GB"/>
              </w:rPr>
              <w:t>45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0.</w:t>
            </w:r>
            <w:r w:rsidR="0085067C" w:rsidRPr="00BD71DD">
              <w:rPr>
                <w:rFonts w:asciiTheme="majorHAnsi" w:hAnsiTheme="majorHAnsi"/>
                <w:lang w:val="en-GB"/>
              </w:rPr>
              <w:t>5%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812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-7.</w:t>
            </w:r>
            <w:r w:rsidR="0085067C" w:rsidRPr="00BD71DD">
              <w:rPr>
                <w:rFonts w:asciiTheme="majorHAnsi" w:hAnsiTheme="majorHAnsi"/>
                <w:lang w:val="en-GB"/>
              </w:rPr>
              <w:t>1%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4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S</w:t>
            </w:r>
            <w:r w:rsidR="00B23109" w:rsidRPr="00BD71DD">
              <w:rPr>
                <w:rFonts w:asciiTheme="majorHAnsi" w:hAnsiTheme="majorHAnsi"/>
                <w:lang w:val="en-GB"/>
              </w:rPr>
              <w:t>witzerland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10.</w:t>
            </w:r>
            <w:r w:rsidR="0085067C" w:rsidRPr="00BD71DD">
              <w:rPr>
                <w:rFonts w:asciiTheme="majorHAnsi" w:hAnsiTheme="majorHAnsi"/>
                <w:lang w:val="en-GB"/>
              </w:rPr>
              <w:t>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3.</w:t>
            </w:r>
            <w:r w:rsidR="0085067C" w:rsidRPr="00BD71DD">
              <w:rPr>
                <w:rFonts w:asciiTheme="majorHAnsi" w:hAnsiTheme="majorHAnsi"/>
                <w:lang w:val="en-GB"/>
              </w:rPr>
              <w:t>0%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681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-4.</w:t>
            </w:r>
            <w:r w:rsidR="0085067C" w:rsidRPr="00BD71DD">
              <w:rPr>
                <w:rFonts w:asciiTheme="majorHAnsi" w:hAnsiTheme="majorHAnsi"/>
                <w:lang w:val="en-GB"/>
              </w:rPr>
              <w:t>9%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5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Russia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9.</w:t>
            </w:r>
            <w:r w:rsidR="0085067C" w:rsidRPr="00BD71DD">
              <w:rPr>
                <w:rFonts w:asciiTheme="majorHAnsi" w:hAnsiTheme="majorHAnsi"/>
                <w:lang w:val="en-GB"/>
              </w:rPr>
              <w:t>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2.</w:t>
            </w:r>
            <w:r w:rsidR="0085067C" w:rsidRPr="00BD71DD">
              <w:rPr>
                <w:rFonts w:asciiTheme="majorHAnsi" w:hAnsiTheme="majorHAnsi"/>
                <w:lang w:val="en-GB"/>
              </w:rPr>
              <w:t>0%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85021A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</w:t>
            </w:r>
            <w:r w:rsidR="0085021A" w:rsidRPr="00BD71DD">
              <w:rPr>
                <w:rFonts w:asciiTheme="majorHAnsi" w:hAnsiTheme="majorHAnsi"/>
                <w:lang w:val="en-GB"/>
              </w:rPr>
              <w:t>,</w:t>
            </w:r>
            <w:r w:rsidRPr="00BD71DD">
              <w:rPr>
                <w:rFonts w:asciiTheme="majorHAnsi" w:hAnsiTheme="majorHAnsi"/>
                <w:lang w:val="en-GB"/>
              </w:rPr>
              <w:t xml:space="preserve">027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-1.</w:t>
            </w:r>
            <w:r w:rsidR="0085067C" w:rsidRPr="00BD71DD">
              <w:rPr>
                <w:rFonts w:asciiTheme="majorHAnsi" w:hAnsiTheme="majorHAnsi"/>
                <w:lang w:val="en-GB"/>
              </w:rPr>
              <w:t>4%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6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Unit</w:t>
            </w:r>
            <w:r w:rsidR="00B23109" w:rsidRPr="00BD71DD">
              <w:rPr>
                <w:rFonts w:asciiTheme="majorHAnsi" w:hAnsiTheme="majorHAnsi"/>
                <w:lang w:val="en-GB"/>
              </w:rPr>
              <w:t>ed States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9.</w:t>
            </w:r>
            <w:r w:rsidR="0085067C" w:rsidRPr="00BD71DD">
              <w:rPr>
                <w:rFonts w:asciiTheme="majorHAnsi" w:hAnsiTheme="majorHAnsi"/>
                <w:lang w:val="en-GB"/>
              </w:rPr>
              <w:t>13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2.</w:t>
            </w:r>
            <w:r w:rsidR="0085067C" w:rsidRPr="00BD71DD">
              <w:rPr>
                <w:rFonts w:asciiTheme="majorHAnsi" w:hAnsiTheme="majorHAnsi"/>
                <w:lang w:val="en-GB"/>
              </w:rPr>
              <w:t>5%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2,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574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6.</w:t>
            </w:r>
            <w:r w:rsidR="0085067C" w:rsidRPr="00BD71DD">
              <w:rPr>
                <w:rFonts w:asciiTheme="majorHAnsi" w:hAnsiTheme="majorHAnsi"/>
                <w:lang w:val="en-GB"/>
              </w:rPr>
              <w:t>5%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7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Spa</w:t>
            </w:r>
            <w:r w:rsidR="00B23109" w:rsidRPr="00BD71DD">
              <w:rPr>
                <w:rFonts w:asciiTheme="majorHAnsi" w:hAnsiTheme="majorHAnsi"/>
                <w:lang w:val="en-GB"/>
              </w:rPr>
              <w:t>i</w:t>
            </w:r>
            <w:r w:rsidRPr="00BD71DD">
              <w:rPr>
                <w:rFonts w:asciiTheme="majorHAnsi" w:hAnsiTheme="majorHAnsi"/>
                <w:lang w:val="en-GB"/>
              </w:rPr>
              <w:t>n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8.</w:t>
            </w:r>
            <w:r w:rsidR="0085067C" w:rsidRPr="00BD71DD">
              <w:rPr>
                <w:rFonts w:asciiTheme="majorHAnsi" w:hAnsiTheme="majorHAnsi"/>
                <w:lang w:val="en-GB"/>
              </w:rPr>
              <w:t>43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7.</w:t>
            </w:r>
            <w:r w:rsidR="0085067C" w:rsidRPr="00BD71DD">
              <w:rPr>
                <w:rFonts w:asciiTheme="majorHAnsi" w:hAnsiTheme="majorHAnsi"/>
                <w:lang w:val="en-GB"/>
              </w:rPr>
              <w:t>7%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920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1.</w:t>
            </w:r>
            <w:r w:rsidR="0085067C" w:rsidRPr="00BD71DD">
              <w:rPr>
                <w:rFonts w:asciiTheme="majorHAnsi" w:hAnsiTheme="majorHAnsi"/>
                <w:lang w:val="en-GB"/>
              </w:rPr>
              <w:t>2%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8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B23109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Belgi</w:t>
            </w:r>
            <w:r w:rsidR="00B23109" w:rsidRPr="00BD71DD">
              <w:rPr>
                <w:rFonts w:asciiTheme="majorHAnsi" w:hAnsiTheme="majorHAnsi"/>
                <w:lang w:val="en-GB"/>
              </w:rPr>
              <w:t>um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5.</w:t>
            </w:r>
            <w:r w:rsidR="0085067C" w:rsidRPr="00BD71DD">
              <w:rPr>
                <w:rFonts w:asciiTheme="majorHAnsi" w:hAnsiTheme="majorHAnsi"/>
                <w:lang w:val="en-GB"/>
              </w:rPr>
              <w:t>76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8.</w:t>
            </w:r>
            <w:r w:rsidR="0085067C" w:rsidRPr="00BD71DD">
              <w:rPr>
                <w:rFonts w:asciiTheme="majorHAnsi" w:hAnsiTheme="majorHAnsi"/>
                <w:lang w:val="en-GB"/>
              </w:rPr>
              <w:t>1%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 xml:space="preserve">974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4.</w:t>
            </w:r>
            <w:r w:rsidR="0085067C" w:rsidRPr="00BD71DD">
              <w:rPr>
                <w:rFonts w:asciiTheme="majorHAnsi" w:hAnsiTheme="majorHAnsi"/>
                <w:lang w:val="en-GB"/>
              </w:rPr>
              <w:t>3%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9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B23109" w:rsidP="00147BCE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Poland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5.</w:t>
            </w:r>
            <w:r w:rsidR="0085067C" w:rsidRPr="00BD71DD">
              <w:rPr>
                <w:rFonts w:asciiTheme="majorHAnsi" w:hAnsiTheme="majorHAnsi"/>
                <w:lang w:val="en-GB"/>
              </w:rPr>
              <w:t>58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17.</w:t>
            </w:r>
            <w:r w:rsidR="0085067C" w:rsidRPr="00BD71DD">
              <w:rPr>
                <w:rFonts w:asciiTheme="majorHAnsi" w:hAnsiTheme="majorHAnsi"/>
                <w:lang w:val="en-GB"/>
              </w:rPr>
              <w:t>0%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2,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645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31.</w:t>
            </w:r>
            <w:r w:rsidR="0085067C" w:rsidRPr="00BD71DD">
              <w:rPr>
                <w:rFonts w:asciiTheme="majorHAnsi" w:hAnsiTheme="majorHAnsi"/>
                <w:lang w:val="en-GB"/>
              </w:rPr>
              <w:t>7%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10</w:t>
            </w:r>
          </w:p>
        </w:tc>
        <w:tc>
          <w:tcPr>
            <w:tcW w:w="3046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Austria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4.</w:t>
            </w:r>
            <w:r w:rsidR="0085067C" w:rsidRPr="00BD71DD">
              <w:rPr>
                <w:rFonts w:asciiTheme="majorHAnsi" w:hAnsiTheme="majorHAnsi"/>
                <w:lang w:val="en-GB"/>
              </w:rPr>
              <w:t>14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-17.</w:t>
            </w:r>
            <w:r w:rsidR="0085067C" w:rsidRPr="00BD71DD">
              <w:rPr>
                <w:rFonts w:asciiTheme="majorHAnsi" w:hAnsiTheme="majorHAnsi"/>
                <w:lang w:val="en-GB"/>
              </w:rPr>
              <w:t>0%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 xml:space="preserve">873 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-35.</w:t>
            </w:r>
            <w:r w:rsidR="0085067C" w:rsidRPr="00BD71DD">
              <w:rPr>
                <w:rFonts w:asciiTheme="majorHAnsi" w:hAnsiTheme="majorHAnsi"/>
                <w:lang w:val="en-GB"/>
              </w:rPr>
              <w:t>7%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13</w:t>
            </w:r>
          </w:p>
        </w:tc>
        <w:tc>
          <w:tcPr>
            <w:tcW w:w="3046" w:type="dxa"/>
            <w:shd w:val="clear" w:color="000000" w:fill="FFFFFF"/>
            <w:noWrap/>
            <w:vAlign w:val="bottom"/>
          </w:tcPr>
          <w:p w:rsidR="0085067C" w:rsidRPr="00BD71DD" w:rsidRDefault="00147BCE" w:rsidP="00147BCE">
            <w:pPr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China</w:t>
            </w:r>
          </w:p>
        </w:tc>
        <w:tc>
          <w:tcPr>
            <w:tcW w:w="1843" w:type="dxa"/>
            <w:shd w:val="clear" w:color="000000" w:fill="FFFFFF"/>
            <w:noWrap/>
            <w:vAlign w:val="bottom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3.</w:t>
            </w:r>
            <w:r w:rsidR="0085067C" w:rsidRPr="00BD71DD">
              <w:rPr>
                <w:rFonts w:asciiTheme="majorHAnsi" w:hAnsiTheme="majorHAnsi"/>
                <w:lang w:val="en-GB"/>
              </w:rPr>
              <w:t>45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20.</w:t>
            </w:r>
            <w:r w:rsidR="0085067C" w:rsidRPr="00BD71DD">
              <w:rPr>
                <w:rFonts w:asciiTheme="majorHAnsi" w:hAnsiTheme="majorHAnsi"/>
                <w:lang w:val="en-GB"/>
              </w:rPr>
              <w:t>7%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1,</w:t>
            </w:r>
            <w:r w:rsidR="0085067C" w:rsidRPr="00BD71DD">
              <w:rPr>
                <w:rFonts w:asciiTheme="majorHAnsi" w:hAnsiTheme="majorHAnsi"/>
                <w:lang w:val="en-GB"/>
              </w:rPr>
              <w:t xml:space="preserve">101 </w:t>
            </w:r>
          </w:p>
        </w:tc>
        <w:tc>
          <w:tcPr>
            <w:tcW w:w="851" w:type="dxa"/>
            <w:shd w:val="clear" w:color="000000" w:fill="FFFFFF"/>
            <w:noWrap/>
            <w:vAlign w:val="bottom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lang w:val="en-GB"/>
              </w:rPr>
            </w:pPr>
            <w:r w:rsidRPr="00BD71DD">
              <w:rPr>
                <w:rFonts w:asciiTheme="majorHAnsi" w:hAnsiTheme="majorHAnsi"/>
                <w:lang w:val="en-GB"/>
              </w:rPr>
              <w:t>30.</w:t>
            </w:r>
            <w:r w:rsidR="0085067C" w:rsidRPr="00BD71DD">
              <w:rPr>
                <w:rFonts w:asciiTheme="majorHAnsi" w:hAnsiTheme="majorHAnsi"/>
                <w:lang w:val="en-GB"/>
              </w:rPr>
              <w:t>7%</w:t>
            </w:r>
          </w:p>
        </w:tc>
      </w:tr>
      <w:tr w:rsidR="0085067C" w:rsidRPr="00BD71DD" w:rsidTr="00E265BD">
        <w:trPr>
          <w:trHeight w:val="264"/>
        </w:trPr>
        <w:tc>
          <w:tcPr>
            <w:tcW w:w="498" w:type="dxa"/>
            <w:shd w:val="clear" w:color="000000" w:fill="FFFFFF"/>
            <w:noWrap/>
            <w:vAlign w:val="bottom"/>
          </w:tcPr>
          <w:p w:rsidR="0085067C" w:rsidRPr="00BD71DD" w:rsidRDefault="0085067C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3046" w:type="dxa"/>
            <w:shd w:val="clear" w:color="000000" w:fill="FFFFFF"/>
            <w:noWrap/>
            <w:vAlign w:val="bottom"/>
          </w:tcPr>
          <w:p w:rsidR="0085067C" w:rsidRPr="00BD71DD" w:rsidRDefault="0085067C" w:rsidP="0085021A">
            <w:pPr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 xml:space="preserve">TOTAL </w:t>
            </w:r>
            <w:r w:rsidR="0085021A" w:rsidRPr="00BD71DD">
              <w:rPr>
                <w:rFonts w:asciiTheme="majorHAnsi" w:hAnsiTheme="majorHAnsi"/>
                <w:b/>
                <w:lang w:val="en-GB"/>
              </w:rPr>
              <w:t xml:space="preserve">Bathroom furniture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213.</w:t>
            </w:r>
            <w:r w:rsidR="0085067C" w:rsidRPr="00BD71DD">
              <w:rPr>
                <w:rFonts w:asciiTheme="majorHAnsi" w:hAnsiTheme="majorHAnsi"/>
                <w:b/>
                <w:lang w:val="en-GB"/>
              </w:rPr>
              <w:t xml:space="preserve">10 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1.</w:t>
            </w:r>
            <w:r w:rsidR="0085067C" w:rsidRPr="00BD71DD">
              <w:rPr>
                <w:rFonts w:asciiTheme="majorHAnsi" w:hAnsiTheme="majorHAnsi"/>
                <w:b/>
                <w:lang w:val="en-GB"/>
              </w:rPr>
              <w:t>3%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46,</w:t>
            </w:r>
            <w:r w:rsidR="0085067C" w:rsidRPr="00BD71DD">
              <w:rPr>
                <w:rFonts w:asciiTheme="majorHAnsi" w:hAnsiTheme="majorHAnsi"/>
                <w:b/>
                <w:lang w:val="en-GB"/>
              </w:rPr>
              <w:t xml:space="preserve">461 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85067C" w:rsidRPr="00BD71DD" w:rsidRDefault="0085021A" w:rsidP="00147BCE">
            <w:pPr>
              <w:jc w:val="right"/>
              <w:rPr>
                <w:rFonts w:asciiTheme="majorHAnsi" w:hAnsiTheme="majorHAnsi"/>
                <w:b/>
                <w:lang w:val="en-GB"/>
              </w:rPr>
            </w:pPr>
            <w:r w:rsidRPr="00BD71DD">
              <w:rPr>
                <w:rFonts w:asciiTheme="majorHAnsi" w:hAnsiTheme="majorHAnsi"/>
                <w:b/>
                <w:lang w:val="en-GB"/>
              </w:rPr>
              <w:t>-0.</w:t>
            </w:r>
            <w:r w:rsidR="0085067C" w:rsidRPr="00BD71DD">
              <w:rPr>
                <w:rFonts w:asciiTheme="majorHAnsi" w:hAnsiTheme="majorHAnsi"/>
                <w:b/>
                <w:lang w:val="en-GB"/>
              </w:rPr>
              <w:t>4%</w:t>
            </w:r>
          </w:p>
        </w:tc>
      </w:tr>
    </w:tbl>
    <w:p w:rsidR="0085067C" w:rsidRPr="00BD71DD" w:rsidRDefault="0085021A" w:rsidP="0085067C">
      <w:pPr>
        <w:ind w:left="2268" w:right="134"/>
        <w:rPr>
          <w:rFonts w:asciiTheme="majorHAnsi" w:hAnsiTheme="majorHAnsi"/>
          <w:sz w:val="22"/>
          <w:szCs w:val="22"/>
          <w:lang w:val="en-GB"/>
        </w:rPr>
      </w:pPr>
      <w:r w:rsidRPr="00BD71DD">
        <w:rPr>
          <w:rFonts w:asciiTheme="majorHAnsi" w:hAnsiTheme="majorHAnsi"/>
          <w:i/>
          <w:sz w:val="22"/>
          <w:szCs w:val="22"/>
          <w:lang w:val="en-GB"/>
        </w:rPr>
        <w:t>Source</w:t>
      </w:r>
      <w:r w:rsidR="0085067C" w:rsidRPr="00BD71DD">
        <w:rPr>
          <w:rFonts w:asciiTheme="majorHAnsi" w:hAnsiTheme="majorHAnsi"/>
          <w:i/>
          <w:sz w:val="22"/>
          <w:szCs w:val="22"/>
          <w:lang w:val="en-GB"/>
        </w:rPr>
        <w:t xml:space="preserve">: Centro Studi Federlegno Arredo Eventi </w:t>
      </w:r>
      <w:r w:rsidRPr="00BD71DD">
        <w:rPr>
          <w:rFonts w:asciiTheme="majorHAnsi" w:hAnsiTheme="majorHAnsi"/>
          <w:i/>
          <w:sz w:val="22"/>
          <w:szCs w:val="22"/>
          <w:lang w:val="en-GB"/>
        </w:rPr>
        <w:t>calculations based on ISTAT data</w:t>
      </w:r>
    </w:p>
    <w:p w:rsidR="0085067C" w:rsidRPr="00BD71DD" w:rsidRDefault="0085067C" w:rsidP="0085067C">
      <w:pPr>
        <w:ind w:left="2268" w:right="134"/>
        <w:rPr>
          <w:rFonts w:asciiTheme="majorHAnsi" w:hAnsiTheme="majorHAnsi"/>
          <w:lang w:val="en-GB"/>
        </w:rPr>
      </w:pPr>
    </w:p>
    <w:p w:rsidR="0085067C" w:rsidRPr="00BD71DD" w:rsidRDefault="0085067C" w:rsidP="0085067C">
      <w:pPr>
        <w:ind w:left="2268" w:right="134"/>
        <w:rPr>
          <w:rFonts w:asciiTheme="majorHAnsi" w:hAnsiTheme="majorHAnsi"/>
          <w:lang w:val="en-GB"/>
        </w:rPr>
      </w:pPr>
    </w:p>
    <w:p w:rsidR="00B950A1" w:rsidRPr="000471B6" w:rsidRDefault="00B950A1" w:rsidP="00B950A1">
      <w:pPr>
        <w:tabs>
          <w:tab w:val="left" w:pos="2320"/>
        </w:tabs>
        <w:ind w:left="2268"/>
        <w:rPr>
          <w:rFonts w:asciiTheme="majorHAnsi" w:hAnsiTheme="majorHAnsi"/>
          <w:i/>
          <w:lang w:val="en-GB"/>
        </w:rPr>
      </w:pPr>
      <w:r>
        <w:rPr>
          <w:rFonts w:asciiTheme="majorHAnsi" w:hAnsiTheme="majorHAnsi"/>
          <w:i/>
          <w:lang w:val="en-GB"/>
        </w:rPr>
        <w:t xml:space="preserve">Bologna, </w:t>
      </w:r>
      <w:r w:rsidRPr="000471B6">
        <w:rPr>
          <w:rFonts w:asciiTheme="majorHAnsi" w:hAnsiTheme="majorHAnsi"/>
          <w:i/>
          <w:lang w:val="en-GB"/>
        </w:rPr>
        <w:t>22 September 2014</w:t>
      </w:r>
    </w:p>
    <w:p w:rsidR="0085067C" w:rsidRPr="00BD71DD" w:rsidRDefault="0085067C" w:rsidP="0085067C">
      <w:pPr>
        <w:ind w:left="2268" w:right="134"/>
        <w:rPr>
          <w:rFonts w:asciiTheme="majorHAnsi" w:hAnsiTheme="majorHAnsi"/>
          <w:lang w:val="en-GB"/>
        </w:rPr>
      </w:pPr>
    </w:p>
    <w:p w:rsidR="00147BCE" w:rsidRPr="00147BCE" w:rsidRDefault="00147BCE" w:rsidP="0085067C">
      <w:pPr>
        <w:ind w:left="2268"/>
        <w:rPr>
          <w:rFonts w:ascii="Helvetica" w:hAnsi="Helvetica"/>
          <w:sz w:val="22"/>
          <w:szCs w:val="22"/>
          <w:lang w:val="en-GB"/>
        </w:rPr>
      </w:pPr>
    </w:p>
    <w:sectPr w:rsidR="00147BCE" w:rsidRPr="00147BCE" w:rsidSect="00585EEE">
      <w:headerReference w:type="default" r:id="rId6"/>
      <w:footerReference w:type="default" r:id="rId7"/>
      <w:pgSz w:w="11900" w:h="16840"/>
      <w:pgMar w:top="3119" w:right="1134" w:bottom="3969" w:left="0" w:header="0" w:footer="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730" w:rsidRDefault="00597730" w:rsidP="00313C4C">
      <w:r>
        <w:separator/>
      </w:r>
    </w:p>
  </w:endnote>
  <w:endnote w:type="continuationSeparator" w:id="0">
    <w:p w:rsidR="00597730" w:rsidRDefault="00597730" w:rsidP="0031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206" w:rsidRDefault="00D40206">
    <w:pPr>
      <w:pStyle w:val="Pidipagina"/>
    </w:pPr>
    <w:r>
      <w:rPr>
        <w:noProof/>
      </w:rPr>
      <w:drawing>
        <wp:inline distT="0" distB="0" distL="0" distR="0">
          <wp:extent cx="7556500" cy="2309204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e _FLA_ASSOCI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230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730" w:rsidRDefault="00597730" w:rsidP="00313C4C">
      <w:r>
        <w:separator/>
      </w:r>
    </w:p>
  </w:footnote>
  <w:footnote w:type="continuationSeparator" w:id="0">
    <w:p w:rsidR="00597730" w:rsidRDefault="00597730" w:rsidP="00313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206" w:rsidRDefault="00D40206">
    <w:pPr>
      <w:pStyle w:val="Intestazione"/>
    </w:pPr>
    <w:r>
      <w:rPr>
        <w:noProof/>
      </w:rPr>
      <w:drawing>
        <wp:inline distT="0" distB="0" distL="0" distR="0">
          <wp:extent cx="7545887" cy="2336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_ASS_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887" cy="233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C4C"/>
    <w:rsid w:val="000252C6"/>
    <w:rsid w:val="000471B6"/>
    <w:rsid w:val="00147BCE"/>
    <w:rsid w:val="001E6E8A"/>
    <w:rsid w:val="00254956"/>
    <w:rsid w:val="00257935"/>
    <w:rsid w:val="00274A2C"/>
    <w:rsid w:val="00313C4C"/>
    <w:rsid w:val="0038246E"/>
    <w:rsid w:val="003C5A76"/>
    <w:rsid w:val="00431D61"/>
    <w:rsid w:val="00447C29"/>
    <w:rsid w:val="004543DB"/>
    <w:rsid w:val="005700B9"/>
    <w:rsid w:val="00585EEE"/>
    <w:rsid w:val="00597730"/>
    <w:rsid w:val="005A3F0D"/>
    <w:rsid w:val="005F3B61"/>
    <w:rsid w:val="0066590E"/>
    <w:rsid w:val="00683CF9"/>
    <w:rsid w:val="006D528A"/>
    <w:rsid w:val="008112D7"/>
    <w:rsid w:val="00815BC4"/>
    <w:rsid w:val="00827F76"/>
    <w:rsid w:val="0085021A"/>
    <w:rsid w:val="0085067C"/>
    <w:rsid w:val="0089782E"/>
    <w:rsid w:val="00900AA5"/>
    <w:rsid w:val="009B2985"/>
    <w:rsid w:val="00AA4ADD"/>
    <w:rsid w:val="00AA4D51"/>
    <w:rsid w:val="00AE014D"/>
    <w:rsid w:val="00B00174"/>
    <w:rsid w:val="00B23109"/>
    <w:rsid w:val="00B950A1"/>
    <w:rsid w:val="00BC2930"/>
    <w:rsid w:val="00BD71DD"/>
    <w:rsid w:val="00C06A43"/>
    <w:rsid w:val="00C510AA"/>
    <w:rsid w:val="00C55F9A"/>
    <w:rsid w:val="00CF1843"/>
    <w:rsid w:val="00CF76C1"/>
    <w:rsid w:val="00D40206"/>
    <w:rsid w:val="00DD3CB8"/>
    <w:rsid w:val="00E265BD"/>
    <w:rsid w:val="00E316AD"/>
    <w:rsid w:val="00E418A6"/>
    <w:rsid w:val="00EB1857"/>
    <w:rsid w:val="00F05378"/>
    <w:rsid w:val="00FA7C81"/>
    <w:rsid w:val="00FE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6A43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Timpano</dc:creator>
  <cp:lastModifiedBy>press.assobagno</cp:lastModifiedBy>
  <cp:revision>13</cp:revision>
  <cp:lastPrinted>2014-09-19T13:51:00Z</cp:lastPrinted>
  <dcterms:created xsi:type="dcterms:W3CDTF">2014-09-19T13:12:00Z</dcterms:created>
  <dcterms:modified xsi:type="dcterms:W3CDTF">2014-09-19T14:15:00Z</dcterms:modified>
</cp:coreProperties>
</file>