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5EEE" w:rsidRPr="002D49CE" w:rsidRDefault="00585EEE" w:rsidP="00C510AA">
      <w:pPr>
        <w:jc w:val="both"/>
        <w:rPr>
          <w:rFonts w:asciiTheme="majorHAnsi" w:hAnsiTheme="majorHAnsi"/>
        </w:rPr>
      </w:pPr>
    </w:p>
    <w:p w:rsidR="00F05378" w:rsidRPr="002D49CE" w:rsidRDefault="00F05378" w:rsidP="00C510AA">
      <w:pPr>
        <w:jc w:val="both"/>
        <w:rPr>
          <w:rFonts w:asciiTheme="majorHAnsi" w:hAnsiTheme="majorHAnsi"/>
        </w:rPr>
      </w:pPr>
    </w:p>
    <w:p w:rsidR="0085067C" w:rsidRPr="002D49CE" w:rsidRDefault="0085067C" w:rsidP="0085067C">
      <w:pPr>
        <w:ind w:left="2268" w:right="134"/>
        <w:rPr>
          <w:rFonts w:asciiTheme="majorHAnsi" w:hAnsiTheme="majorHAnsi"/>
          <w:b/>
          <w:sz w:val="28"/>
          <w:szCs w:val="28"/>
        </w:rPr>
      </w:pPr>
      <w:r w:rsidRPr="002D49CE">
        <w:rPr>
          <w:rFonts w:asciiTheme="majorHAnsi" w:hAnsiTheme="majorHAnsi"/>
          <w:b/>
          <w:sz w:val="28"/>
          <w:szCs w:val="28"/>
        </w:rPr>
        <w:t>SISTEMA ARREDO</w:t>
      </w:r>
      <w:r w:rsidR="00431D61" w:rsidRPr="002D49CE">
        <w:rPr>
          <w:rFonts w:asciiTheme="majorHAnsi" w:hAnsiTheme="majorHAnsi"/>
          <w:b/>
          <w:sz w:val="28"/>
          <w:szCs w:val="28"/>
        </w:rPr>
        <w:t>-</w:t>
      </w:r>
      <w:r w:rsidRPr="002D49CE">
        <w:rPr>
          <w:rFonts w:asciiTheme="majorHAnsi" w:hAnsiTheme="majorHAnsi"/>
          <w:b/>
          <w:sz w:val="28"/>
          <w:szCs w:val="28"/>
        </w:rPr>
        <w:t>BAGNO</w:t>
      </w:r>
      <w:r w:rsidR="00431D61" w:rsidRPr="002D49CE">
        <w:rPr>
          <w:rFonts w:asciiTheme="majorHAnsi" w:hAnsiTheme="majorHAnsi"/>
          <w:b/>
          <w:sz w:val="28"/>
          <w:szCs w:val="28"/>
        </w:rPr>
        <w:t>:</w:t>
      </w:r>
      <w:r w:rsidRPr="002D49CE">
        <w:rPr>
          <w:rFonts w:asciiTheme="majorHAnsi" w:hAnsiTheme="majorHAnsi"/>
          <w:b/>
          <w:sz w:val="28"/>
          <w:szCs w:val="28"/>
        </w:rPr>
        <w:t xml:space="preserve"> TORNANO A CRESCERE I MERCATI EUROPEI. CORRE LA CINA</w:t>
      </w:r>
    </w:p>
    <w:p w:rsidR="0085067C" w:rsidRPr="002D49CE" w:rsidRDefault="0085067C" w:rsidP="0085067C">
      <w:pPr>
        <w:ind w:left="2268" w:right="134"/>
        <w:rPr>
          <w:rFonts w:asciiTheme="majorHAnsi" w:hAnsiTheme="majorHAnsi"/>
        </w:rPr>
      </w:pPr>
    </w:p>
    <w:p w:rsidR="0085067C" w:rsidRPr="002D49CE" w:rsidRDefault="0085067C" w:rsidP="002D49CE">
      <w:pPr>
        <w:ind w:left="2268" w:right="134"/>
        <w:jc w:val="both"/>
        <w:rPr>
          <w:rFonts w:asciiTheme="majorHAnsi" w:hAnsiTheme="majorHAnsi"/>
          <w:b/>
        </w:rPr>
      </w:pPr>
      <w:r w:rsidRPr="002D49CE">
        <w:rPr>
          <w:rFonts w:asciiTheme="majorHAnsi" w:hAnsiTheme="majorHAnsi"/>
          <w:b/>
        </w:rPr>
        <w:t>Sviluppo delle esportazioni e ristrutturazioni edilizie sono i due elementi che hanno sostenuto maggiormente le attività delle imprese italiane del settore</w:t>
      </w:r>
    </w:p>
    <w:p w:rsidR="0085067C" w:rsidRPr="002D49CE" w:rsidRDefault="0085067C" w:rsidP="002D49CE">
      <w:pPr>
        <w:ind w:left="2268" w:right="134"/>
        <w:jc w:val="both"/>
        <w:rPr>
          <w:rFonts w:asciiTheme="majorHAnsi" w:hAnsiTheme="majorHAnsi"/>
        </w:rPr>
      </w:pPr>
    </w:p>
    <w:p w:rsidR="0085067C" w:rsidRPr="002D49CE" w:rsidRDefault="0085067C" w:rsidP="002D49CE">
      <w:pPr>
        <w:ind w:left="2268" w:right="134"/>
        <w:jc w:val="both"/>
        <w:rPr>
          <w:rFonts w:asciiTheme="majorHAnsi" w:hAnsiTheme="majorHAnsi"/>
        </w:rPr>
      </w:pPr>
    </w:p>
    <w:p w:rsidR="0085067C" w:rsidRPr="002D49CE" w:rsidRDefault="0085067C" w:rsidP="002D49CE">
      <w:pPr>
        <w:ind w:left="2268" w:right="134"/>
        <w:jc w:val="both"/>
        <w:rPr>
          <w:rFonts w:asciiTheme="majorHAnsi" w:hAnsiTheme="majorHAnsi"/>
        </w:rPr>
      </w:pPr>
      <w:bookmarkStart w:id="0" w:name="_GoBack"/>
      <w:bookmarkEnd w:id="0"/>
      <w:r w:rsidRPr="002D49CE">
        <w:rPr>
          <w:rFonts w:asciiTheme="majorHAnsi" w:hAnsiTheme="majorHAnsi"/>
        </w:rPr>
        <w:t>L’</w:t>
      </w:r>
      <w:r w:rsidRPr="002D49CE">
        <w:rPr>
          <w:rFonts w:asciiTheme="majorHAnsi" w:hAnsiTheme="majorHAnsi"/>
          <w:b/>
        </w:rPr>
        <w:t xml:space="preserve">andamento del mercato dell’arredo-bagno nei primi mesi del </w:t>
      </w:r>
      <w:r w:rsidRPr="002D49CE">
        <w:rPr>
          <w:rFonts w:asciiTheme="majorHAnsi" w:hAnsiTheme="majorHAnsi"/>
        </w:rPr>
        <w:t xml:space="preserve">2014 si conferma sostanzialmente in linea con quanto già visto nel corso del 2013. All’interno di uno scenario economico complesso caratterizzato da una continua sofferenza sul mercato interno, sono soprattutto </w:t>
      </w:r>
      <w:r w:rsidRPr="002D49CE">
        <w:rPr>
          <w:rFonts w:asciiTheme="majorHAnsi" w:hAnsiTheme="majorHAnsi"/>
          <w:b/>
        </w:rPr>
        <w:t>due</w:t>
      </w:r>
      <w:r w:rsidRPr="002D49CE">
        <w:rPr>
          <w:rFonts w:asciiTheme="majorHAnsi" w:hAnsiTheme="majorHAnsi"/>
        </w:rPr>
        <w:t xml:space="preserve"> i </w:t>
      </w:r>
      <w:r w:rsidRPr="002D49CE">
        <w:rPr>
          <w:rFonts w:asciiTheme="majorHAnsi" w:hAnsiTheme="majorHAnsi"/>
          <w:b/>
        </w:rPr>
        <w:t>fattori</w:t>
      </w:r>
      <w:r w:rsidRPr="002D49CE">
        <w:rPr>
          <w:rFonts w:asciiTheme="majorHAnsi" w:hAnsiTheme="majorHAnsi"/>
        </w:rPr>
        <w:t xml:space="preserve"> che </w:t>
      </w:r>
      <w:r w:rsidRPr="002D49CE">
        <w:rPr>
          <w:rFonts w:asciiTheme="majorHAnsi" w:hAnsiTheme="majorHAnsi"/>
          <w:b/>
        </w:rPr>
        <w:t>hanno sostenuto le aziende</w:t>
      </w:r>
      <w:r w:rsidRPr="002D49CE">
        <w:rPr>
          <w:rFonts w:asciiTheme="majorHAnsi" w:hAnsiTheme="majorHAnsi"/>
        </w:rPr>
        <w:t>: lo sviluppo dei mercati esteri e il trend sempre positivo delle ristrutturazioni edilizie in Italia.</w:t>
      </w:r>
    </w:p>
    <w:p w:rsidR="0085067C" w:rsidRPr="002D49CE" w:rsidRDefault="0085067C" w:rsidP="002D49CE">
      <w:pPr>
        <w:ind w:left="2268" w:right="134"/>
        <w:jc w:val="both"/>
        <w:rPr>
          <w:rFonts w:asciiTheme="majorHAnsi" w:hAnsiTheme="majorHAnsi"/>
        </w:rPr>
      </w:pPr>
    </w:p>
    <w:p w:rsidR="0085067C" w:rsidRPr="002D49CE" w:rsidRDefault="0085067C" w:rsidP="002D49CE">
      <w:pPr>
        <w:ind w:left="2268" w:right="134"/>
        <w:jc w:val="both"/>
        <w:rPr>
          <w:rFonts w:asciiTheme="majorHAnsi" w:hAnsiTheme="majorHAnsi"/>
        </w:rPr>
      </w:pPr>
      <w:r w:rsidRPr="002D49CE">
        <w:rPr>
          <w:rFonts w:asciiTheme="majorHAnsi" w:hAnsiTheme="majorHAnsi"/>
        </w:rPr>
        <w:t xml:space="preserve">Secondo i dati più recenti diffusi dal </w:t>
      </w:r>
      <w:r w:rsidRPr="002D49CE">
        <w:rPr>
          <w:rFonts w:asciiTheme="majorHAnsi" w:hAnsiTheme="majorHAnsi"/>
          <w:i/>
        </w:rPr>
        <w:t xml:space="preserve">Centro Studi </w:t>
      </w:r>
      <w:proofErr w:type="spellStart"/>
      <w:r w:rsidRPr="002D49CE">
        <w:rPr>
          <w:rFonts w:asciiTheme="majorHAnsi" w:hAnsiTheme="majorHAnsi"/>
          <w:i/>
        </w:rPr>
        <w:t>Federlegno</w:t>
      </w:r>
      <w:proofErr w:type="spellEnd"/>
      <w:r w:rsidRPr="002D49CE">
        <w:rPr>
          <w:rFonts w:asciiTheme="majorHAnsi" w:hAnsiTheme="majorHAnsi"/>
          <w:i/>
        </w:rPr>
        <w:t xml:space="preserve"> Arredo Eventi</w:t>
      </w:r>
      <w:r w:rsidRPr="002D49CE">
        <w:rPr>
          <w:rFonts w:asciiTheme="majorHAnsi" w:hAnsiTheme="majorHAnsi"/>
        </w:rPr>
        <w:t xml:space="preserve">, le </w:t>
      </w:r>
      <w:r w:rsidRPr="002D49CE">
        <w:rPr>
          <w:rFonts w:asciiTheme="majorHAnsi" w:hAnsiTheme="majorHAnsi"/>
          <w:b/>
        </w:rPr>
        <w:t>esportazioni del sistema arredo-bagno</w:t>
      </w:r>
      <w:r w:rsidRPr="002D49CE">
        <w:rPr>
          <w:rFonts w:asciiTheme="majorHAnsi" w:hAnsiTheme="majorHAnsi"/>
        </w:rPr>
        <w:t xml:space="preserve"> hanno segnato, nel corso del primo trimestre 2014, un </w:t>
      </w:r>
      <w:r w:rsidRPr="002D49CE">
        <w:rPr>
          <w:rFonts w:asciiTheme="majorHAnsi" w:hAnsiTheme="majorHAnsi"/>
          <w:b/>
        </w:rPr>
        <w:t>incremento dell’1,3%</w:t>
      </w:r>
      <w:r w:rsidRPr="002D49CE">
        <w:rPr>
          <w:rFonts w:asciiTheme="majorHAnsi" w:hAnsiTheme="majorHAnsi"/>
        </w:rPr>
        <w:t xml:space="preserve"> rispetto al medesimo periodo dell’anno precedente, per un fatturato complessivo di 213,10 milioni di euro.</w:t>
      </w:r>
    </w:p>
    <w:p w:rsidR="0085067C" w:rsidRPr="002D49CE" w:rsidRDefault="0085067C" w:rsidP="0085067C">
      <w:pPr>
        <w:ind w:left="2268" w:right="134"/>
        <w:rPr>
          <w:rFonts w:asciiTheme="majorHAnsi" w:hAnsiTheme="majorHAnsi"/>
        </w:rPr>
      </w:pPr>
    </w:p>
    <w:p w:rsidR="0085067C" w:rsidRPr="002D49CE" w:rsidRDefault="0085067C" w:rsidP="002D49CE">
      <w:pPr>
        <w:ind w:left="2268" w:right="134"/>
        <w:jc w:val="both"/>
        <w:rPr>
          <w:rFonts w:asciiTheme="majorHAnsi" w:hAnsiTheme="majorHAnsi"/>
        </w:rPr>
      </w:pPr>
      <w:r w:rsidRPr="002D49CE">
        <w:rPr>
          <w:rFonts w:asciiTheme="majorHAnsi" w:hAnsiTheme="majorHAnsi"/>
          <w:i/>
        </w:rPr>
        <w:t>«Le aziende italiane del sistema arredo-bagno»</w:t>
      </w:r>
      <w:r w:rsidRPr="002D49CE">
        <w:rPr>
          <w:rFonts w:asciiTheme="majorHAnsi" w:hAnsiTheme="majorHAnsi"/>
        </w:rPr>
        <w:t xml:space="preserve">, sottolinea il </w:t>
      </w:r>
      <w:r w:rsidRPr="002D49CE">
        <w:rPr>
          <w:rFonts w:asciiTheme="majorHAnsi" w:hAnsiTheme="majorHAnsi"/>
          <w:b/>
        </w:rPr>
        <w:t>presidente di Assobagno Mauro Guzzini</w:t>
      </w:r>
      <w:r w:rsidRPr="002D49CE">
        <w:rPr>
          <w:rFonts w:asciiTheme="majorHAnsi" w:hAnsiTheme="majorHAnsi"/>
        </w:rPr>
        <w:t xml:space="preserve">, </w:t>
      </w:r>
      <w:r w:rsidRPr="002D49CE">
        <w:rPr>
          <w:rFonts w:asciiTheme="majorHAnsi" w:hAnsiTheme="majorHAnsi"/>
          <w:i/>
        </w:rPr>
        <w:t>«stanno spingendo con forza per incrementare la loro presenza a livello internazionale. Nei primi mesi dell’anno, abbiamo registrato segnali incoraggianti in particolare sui mercati UE, come Germania, Spagna, Belgio, Polonia e Paesi Bassi. Pur non rappresentando ancora una piazza rilevante in termini assoluti, la Cina mese dopo mese si conferma mercato particolarmente recettivo per la qualità dei nostri prodotti, segnando in particolare nel primo trimestre una crescita superiore al 20%».</w:t>
      </w:r>
    </w:p>
    <w:p w:rsidR="0085067C" w:rsidRPr="002D49CE" w:rsidRDefault="0085067C" w:rsidP="0085067C">
      <w:pPr>
        <w:ind w:left="2268" w:right="134"/>
        <w:rPr>
          <w:rFonts w:asciiTheme="majorHAnsi" w:hAnsiTheme="majorHAnsi"/>
        </w:rPr>
      </w:pPr>
    </w:p>
    <w:p w:rsidR="0085067C" w:rsidRPr="002D49CE" w:rsidRDefault="0085067C" w:rsidP="002D49CE">
      <w:pPr>
        <w:ind w:left="2268" w:right="134"/>
        <w:jc w:val="both"/>
        <w:rPr>
          <w:rFonts w:asciiTheme="majorHAnsi" w:hAnsiTheme="majorHAnsi"/>
        </w:rPr>
      </w:pPr>
      <w:r w:rsidRPr="002D49CE">
        <w:rPr>
          <w:rFonts w:asciiTheme="majorHAnsi" w:hAnsiTheme="majorHAnsi"/>
          <w:b/>
        </w:rPr>
        <w:t>Sul mercato interno</w:t>
      </w:r>
      <w:r w:rsidRPr="002D49CE">
        <w:rPr>
          <w:rFonts w:asciiTheme="majorHAnsi" w:hAnsiTheme="majorHAnsi"/>
        </w:rPr>
        <w:t xml:space="preserve">, le buone notizie arrivano soprattutto dal fronte delle </w:t>
      </w:r>
      <w:r w:rsidRPr="002D49CE">
        <w:rPr>
          <w:rFonts w:asciiTheme="majorHAnsi" w:hAnsiTheme="majorHAnsi"/>
          <w:b/>
        </w:rPr>
        <w:t>ristrutturazioni edilizie</w:t>
      </w:r>
      <w:r w:rsidRPr="002D49CE">
        <w:rPr>
          <w:rFonts w:asciiTheme="majorHAnsi" w:hAnsiTheme="majorHAnsi"/>
        </w:rPr>
        <w:t xml:space="preserve">, unico settore delle costruzioni in Italia ad aver registrato un </w:t>
      </w:r>
      <w:r w:rsidRPr="002D49CE">
        <w:rPr>
          <w:rFonts w:asciiTheme="majorHAnsi" w:hAnsiTheme="majorHAnsi"/>
        </w:rPr>
        <w:lastRenderedPageBreak/>
        <w:t xml:space="preserve">trend positivo negli ultimi anni (+20% dal 2008 al 2014). Anche per l’anno in corso, infatti, è attesa una </w:t>
      </w:r>
      <w:r w:rsidRPr="002D49CE">
        <w:rPr>
          <w:rFonts w:asciiTheme="majorHAnsi" w:hAnsiTheme="majorHAnsi"/>
          <w:b/>
        </w:rPr>
        <w:t>crescita della manutenzione straordinaria del 3%</w:t>
      </w:r>
      <w:r w:rsidRPr="002D49CE">
        <w:rPr>
          <w:rFonts w:asciiTheme="majorHAnsi" w:hAnsiTheme="majorHAnsi"/>
        </w:rPr>
        <w:t xml:space="preserve">, dato che conferma l’impatto positivo avuto dalle misure fiscali adottate in questi anni e in particolare il </w:t>
      </w:r>
      <w:r w:rsidRPr="002D49CE">
        <w:rPr>
          <w:rFonts w:asciiTheme="majorHAnsi" w:hAnsiTheme="majorHAnsi"/>
          <w:b/>
        </w:rPr>
        <w:t>Bonus del 65% per l’</w:t>
      </w:r>
      <w:proofErr w:type="spellStart"/>
      <w:r w:rsidRPr="002D49CE">
        <w:rPr>
          <w:rFonts w:asciiTheme="majorHAnsi" w:hAnsiTheme="majorHAnsi"/>
          <w:b/>
        </w:rPr>
        <w:t>efficientamento</w:t>
      </w:r>
      <w:proofErr w:type="spellEnd"/>
      <w:r w:rsidRPr="002D49CE">
        <w:rPr>
          <w:rFonts w:asciiTheme="majorHAnsi" w:hAnsiTheme="majorHAnsi"/>
          <w:b/>
        </w:rPr>
        <w:t xml:space="preserve"> energetico</w:t>
      </w:r>
      <w:r w:rsidRPr="002D49CE">
        <w:rPr>
          <w:rFonts w:asciiTheme="majorHAnsi" w:hAnsiTheme="majorHAnsi"/>
        </w:rPr>
        <w:t xml:space="preserve"> e il </w:t>
      </w:r>
      <w:r w:rsidRPr="002D49CE">
        <w:rPr>
          <w:rFonts w:asciiTheme="majorHAnsi" w:hAnsiTheme="majorHAnsi"/>
          <w:b/>
        </w:rPr>
        <w:t>Bonus Mobili del 50%</w:t>
      </w:r>
      <w:r w:rsidRPr="002D49CE">
        <w:rPr>
          <w:rFonts w:asciiTheme="majorHAnsi" w:hAnsiTheme="majorHAnsi"/>
        </w:rPr>
        <w:t>.</w:t>
      </w:r>
    </w:p>
    <w:p w:rsidR="0085067C" w:rsidRPr="002D49CE" w:rsidRDefault="0085067C" w:rsidP="002D49CE">
      <w:pPr>
        <w:ind w:left="2268" w:right="134"/>
        <w:jc w:val="both"/>
        <w:rPr>
          <w:rFonts w:asciiTheme="majorHAnsi" w:hAnsiTheme="majorHAnsi"/>
        </w:rPr>
      </w:pPr>
    </w:p>
    <w:p w:rsidR="0085067C" w:rsidRPr="002D49CE" w:rsidRDefault="0085067C" w:rsidP="0085067C">
      <w:pPr>
        <w:ind w:left="2268" w:right="134"/>
        <w:rPr>
          <w:rFonts w:asciiTheme="majorHAnsi" w:hAnsiTheme="majorHAnsi"/>
        </w:rPr>
      </w:pPr>
    </w:p>
    <w:p w:rsidR="0085067C" w:rsidRPr="002D49CE" w:rsidRDefault="0085067C" w:rsidP="002D49CE">
      <w:pPr>
        <w:ind w:left="2268"/>
        <w:jc w:val="both"/>
        <w:rPr>
          <w:rFonts w:asciiTheme="majorHAnsi" w:hAnsiTheme="majorHAnsi"/>
          <w:b/>
        </w:rPr>
      </w:pPr>
      <w:r w:rsidRPr="002D49CE">
        <w:rPr>
          <w:rFonts w:asciiTheme="majorHAnsi" w:hAnsiTheme="majorHAnsi"/>
          <w:b/>
        </w:rPr>
        <w:t>Esportazioni italiane per Paesi di destinazione nel periodo Gennaio-Marzo 2014</w:t>
      </w:r>
    </w:p>
    <w:p w:rsidR="0085067C" w:rsidRPr="002D49CE" w:rsidRDefault="0085067C" w:rsidP="002D49CE">
      <w:pPr>
        <w:ind w:left="2268" w:right="134"/>
        <w:jc w:val="both"/>
        <w:rPr>
          <w:rFonts w:asciiTheme="majorHAnsi" w:hAnsiTheme="majorHAnsi"/>
        </w:rPr>
      </w:pPr>
      <w:r w:rsidRPr="002D49CE">
        <w:rPr>
          <w:rFonts w:asciiTheme="majorHAnsi" w:hAnsiTheme="majorHAnsi"/>
        </w:rPr>
        <w:t>Variazioni % rispetto al corrispondente periodo dell'anno precedente. Dati 2014 provvisori. Dati 2013 revisionati.</w:t>
      </w:r>
    </w:p>
    <w:p w:rsidR="0085067C" w:rsidRPr="002D49CE" w:rsidRDefault="0085067C" w:rsidP="0085067C">
      <w:pPr>
        <w:ind w:left="2268" w:right="134"/>
        <w:rPr>
          <w:rFonts w:asciiTheme="majorHAnsi" w:hAnsiTheme="majorHAnsi"/>
        </w:rPr>
      </w:pPr>
    </w:p>
    <w:tbl>
      <w:tblPr>
        <w:tblW w:w="8364" w:type="dxa"/>
        <w:tblInd w:w="2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98"/>
        <w:gridCol w:w="3188"/>
        <w:gridCol w:w="1417"/>
        <w:gridCol w:w="993"/>
        <w:gridCol w:w="141"/>
        <w:gridCol w:w="1134"/>
        <w:gridCol w:w="993"/>
      </w:tblGrid>
      <w:tr w:rsidR="0085067C" w:rsidRPr="002D49CE" w:rsidTr="002D49CE">
        <w:trPr>
          <w:trHeight w:val="264"/>
        </w:trPr>
        <w:tc>
          <w:tcPr>
            <w:tcW w:w="498" w:type="dxa"/>
            <w:shd w:val="clear" w:color="000000" w:fill="FFFFFF"/>
            <w:noWrap/>
            <w:vAlign w:val="bottom"/>
            <w:hideMark/>
          </w:tcPr>
          <w:p w:rsidR="0085067C" w:rsidRPr="002D49CE" w:rsidRDefault="0085067C" w:rsidP="009C6CFC">
            <w:pPr>
              <w:rPr>
                <w:rFonts w:asciiTheme="majorHAnsi" w:hAnsiTheme="majorHAnsi"/>
                <w:b/>
              </w:rPr>
            </w:pPr>
            <w:r w:rsidRPr="002D49CE">
              <w:rPr>
                <w:rFonts w:asciiTheme="majorHAnsi" w:hAnsiTheme="majorHAnsi"/>
                <w:b/>
              </w:rPr>
              <w:t> </w:t>
            </w:r>
          </w:p>
        </w:tc>
        <w:tc>
          <w:tcPr>
            <w:tcW w:w="3188" w:type="dxa"/>
            <w:shd w:val="clear" w:color="000000" w:fill="FFFFFF"/>
            <w:noWrap/>
            <w:vAlign w:val="bottom"/>
            <w:hideMark/>
          </w:tcPr>
          <w:p w:rsidR="0085067C" w:rsidRPr="002D49CE" w:rsidRDefault="0085067C" w:rsidP="009C6CFC">
            <w:pPr>
              <w:rPr>
                <w:rFonts w:asciiTheme="majorHAnsi" w:hAnsiTheme="majorHAnsi"/>
                <w:b/>
              </w:rPr>
            </w:pPr>
            <w:r w:rsidRPr="002D49CE">
              <w:rPr>
                <w:rFonts w:asciiTheme="majorHAnsi" w:hAnsiTheme="majorHAnsi"/>
                <w:b/>
              </w:rPr>
              <w:t>PAESE</w:t>
            </w:r>
          </w:p>
        </w:tc>
        <w:tc>
          <w:tcPr>
            <w:tcW w:w="1417" w:type="dxa"/>
            <w:shd w:val="clear" w:color="000000" w:fill="FFFFFF"/>
            <w:noWrap/>
            <w:vAlign w:val="bottom"/>
            <w:hideMark/>
          </w:tcPr>
          <w:p w:rsidR="0085067C" w:rsidRPr="002D49CE" w:rsidRDefault="0085067C" w:rsidP="009C6CFC">
            <w:pPr>
              <w:jc w:val="right"/>
              <w:rPr>
                <w:rFonts w:asciiTheme="majorHAnsi" w:hAnsiTheme="majorHAnsi"/>
                <w:b/>
              </w:rPr>
            </w:pPr>
            <w:r w:rsidRPr="002D49CE">
              <w:rPr>
                <w:rFonts w:asciiTheme="majorHAnsi" w:hAnsiTheme="majorHAnsi"/>
                <w:b/>
              </w:rPr>
              <w:t>Milioni di Euro</w:t>
            </w:r>
          </w:p>
        </w:tc>
        <w:tc>
          <w:tcPr>
            <w:tcW w:w="993" w:type="dxa"/>
            <w:shd w:val="clear" w:color="000000" w:fill="FFFFFF"/>
            <w:noWrap/>
            <w:vAlign w:val="bottom"/>
            <w:hideMark/>
          </w:tcPr>
          <w:p w:rsidR="0085067C" w:rsidRPr="002D49CE" w:rsidRDefault="0085067C" w:rsidP="009C6CFC">
            <w:pPr>
              <w:jc w:val="right"/>
              <w:rPr>
                <w:rFonts w:asciiTheme="majorHAnsi" w:hAnsiTheme="majorHAnsi"/>
                <w:b/>
              </w:rPr>
            </w:pPr>
            <w:r w:rsidRPr="002D49CE">
              <w:rPr>
                <w:rFonts w:asciiTheme="majorHAnsi" w:hAnsiTheme="majorHAnsi"/>
                <w:b/>
              </w:rPr>
              <w:t>Var. %</w:t>
            </w:r>
          </w:p>
        </w:tc>
        <w:tc>
          <w:tcPr>
            <w:tcW w:w="1275" w:type="dxa"/>
            <w:gridSpan w:val="2"/>
            <w:shd w:val="clear" w:color="000000" w:fill="FFFFFF"/>
            <w:noWrap/>
            <w:vAlign w:val="bottom"/>
            <w:hideMark/>
          </w:tcPr>
          <w:p w:rsidR="0085067C" w:rsidRPr="002D49CE" w:rsidRDefault="0085067C" w:rsidP="009C6CFC">
            <w:pPr>
              <w:jc w:val="right"/>
              <w:rPr>
                <w:rFonts w:asciiTheme="majorHAnsi" w:hAnsiTheme="majorHAnsi"/>
                <w:b/>
              </w:rPr>
            </w:pPr>
            <w:r w:rsidRPr="002D49CE">
              <w:rPr>
                <w:rFonts w:asciiTheme="majorHAnsi" w:hAnsiTheme="majorHAnsi"/>
                <w:b/>
              </w:rPr>
              <w:t>Tonnellate</w:t>
            </w:r>
          </w:p>
        </w:tc>
        <w:tc>
          <w:tcPr>
            <w:tcW w:w="993" w:type="dxa"/>
            <w:shd w:val="clear" w:color="000000" w:fill="FFFFFF"/>
            <w:noWrap/>
            <w:vAlign w:val="bottom"/>
            <w:hideMark/>
          </w:tcPr>
          <w:p w:rsidR="0085067C" w:rsidRPr="002D49CE" w:rsidRDefault="0085067C" w:rsidP="009C6CFC">
            <w:pPr>
              <w:jc w:val="right"/>
              <w:rPr>
                <w:rFonts w:asciiTheme="majorHAnsi" w:hAnsiTheme="majorHAnsi"/>
                <w:b/>
              </w:rPr>
            </w:pPr>
            <w:r w:rsidRPr="002D49CE">
              <w:rPr>
                <w:rFonts w:asciiTheme="majorHAnsi" w:hAnsiTheme="majorHAnsi"/>
                <w:b/>
              </w:rPr>
              <w:t>Var. %</w:t>
            </w:r>
          </w:p>
        </w:tc>
      </w:tr>
      <w:tr w:rsidR="0085067C" w:rsidRPr="002D49CE" w:rsidTr="002D49CE">
        <w:trPr>
          <w:trHeight w:val="264"/>
        </w:trPr>
        <w:tc>
          <w:tcPr>
            <w:tcW w:w="498" w:type="dxa"/>
            <w:shd w:val="clear" w:color="000000" w:fill="FFFFFF"/>
            <w:noWrap/>
            <w:vAlign w:val="bottom"/>
            <w:hideMark/>
          </w:tcPr>
          <w:p w:rsidR="0085067C" w:rsidRPr="002D49CE" w:rsidRDefault="0085067C" w:rsidP="009C6CFC">
            <w:pPr>
              <w:jc w:val="right"/>
              <w:rPr>
                <w:rFonts w:asciiTheme="majorHAnsi" w:hAnsiTheme="majorHAnsi"/>
              </w:rPr>
            </w:pPr>
            <w:r w:rsidRPr="002D49CE">
              <w:rPr>
                <w:rFonts w:asciiTheme="majorHAnsi" w:hAnsiTheme="majorHAnsi"/>
              </w:rPr>
              <w:t>1</w:t>
            </w:r>
          </w:p>
        </w:tc>
        <w:tc>
          <w:tcPr>
            <w:tcW w:w="3188" w:type="dxa"/>
            <w:shd w:val="clear" w:color="000000" w:fill="FFFFFF"/>
            <w:noWrap/>
            <w:vAlign w:val="bottom"/>
            <w:hideMark/>
          </w:tcPr>
          <w:p w:rsidR="0085067C" w:rsidRPr="002D49CE" w:rsidRDefault="0085067C" w:rsidP="009C6CFC">
            <w:pPr>
              <w:rPr>
                <w:rFonts w:asciiTheme="majorHAnsi" w:hAnsiTheme="majorHAnsi"/>
              </w:rPr>
            </w:pPr>
            <w:r w:rsidRPr="002D49CE">
              <w:rPr>
                <w:rFonts w:asciiTheme="majorHAnsi" w:hAnsiTheme="majorHAnsi"/>
              </w:rPr>
              <w:t>Francia</w:t>
            </w:r>
          </w:p>
        </w:tc>
        <w:tc>
          <w:tcPr>
            <w:tcW w:w="1417" w:type="dxa"/>
            <w:shd w:val="clear" w:color="000000" w:fill="FFFFFF"/>
            <w:noWrap/>
            <w:vAlign w:val="bottom"/>
            <w:hideMark/>
          </w:tcPr>
          <w:p w:rsidR="0085067C" w:rsidRPr="002D49CE" w:rsidRDefault="0085067C" w:rsidP="009C6CFC">
            <w:pPr>
              <w:jc w:val="right"/>
              <w:rPr>
                <w:rFonts w:asciiTheme="majorHAnsi" w:hAnsiTheme="majorHAnsi"/>
              </w:rPr>
            </w:pPr>
            <w:r w:rsidRPr="002D49CE">
              <w:rPr>
                <w:rFonts w:asciiTheme="majorHAnsi" w:hAnsiTheme="majorHAnsi"/>
              </w:rPr>
              <w:t>35,59</w:t>
            </w:r>
          </w:p>
        </w:tc>
        <w:tc>
          <w:tcPr>
            <w:tcW w:w="1134" w:type="dxa"/>
            <w:gridSpan w:val="2"/>
            <w:shd w:val="clear" w:color="000000" w:fill="FFFFFF"/>
            <w:noWrap/>
            <w:vAlign w:val="bottom"/>
            <w:hideMark/>
          </w:tcPr>
          <w:p w:rsidR="0085067C" w:rsidRPr="002D49CE" w:rsidRDefault="0085067C" w:rsidP="009C6CFC">
            <w:pPr>
              <w:jc w:val="right"/>
              <w:rPr>
                <w:rFonts w:asciiTheme="majorHAnsi" w:hAnsiTheme="majorHAnsi"/>
              </w:rPr>
            </w:pPr>
            <w:r w:rsidRPr="002D49CE">
              <w:rPr>
                <w:rFonts w:asciiTheme="majorHAnsi" w:hAnsiTheme="majorHAnsi"/>
              </w:rPr>
              <w:t>-7,4%</w:t>
            </w:r>
          </w:p>
        </w:tc>
        <w:tc>
          <w:tcPr>
            <w:tcW w:w="1134" w:type="dxa"/>
            <w:shd w:val="clear" w:color="000000" w:fill="FFFFFF"/>
            <w:noWrap/>
            <w:vAlign w:val="bottom"/>
            <w:hideMark/>
          </w:tcPr>
          <w:p w:rsidR="0085067C" w:rsidRPr="002D49CE" w:rsidRDefault="0085067C" w:rsidP="009C6CFC">
            <w:pPr>
              <w:jc w:val="right"/>
              <w:rPr>
                <w:rFonts w:asciiTheme="majorHAnsi" w:hAnsiTheme="majorHAnsi"/>
              </w:rPr>
            </w:pPr>
            <w:r w:rsidRPr="002D49CE">
              <w:rPr>
                <w:rFonts w:asciiTheme="majorHAnsi" w:hAnsiTheme="majorHAnsi"/>
              </w:rPr>
              <w:t xml:space="preserve">6.818 </w:t>
            </w:r>
          </w:p>
        </w:tc>
        <w:tc>
          <w:tcPr>
            <w:tcW w:w="993" w:type="dxa"/>
            <w:shd w:val="clear" w:color="000000" w:fill="FFFFFF"/>
            <w:noWrap/>
            <w:vAlign w:val="bottom"/>
            <w:hideMark/>
          </w:tcPr>
          <w:p w:rsidR="0085067C" w:rsidRPr="002D49CE" w:rsidRDefault="0085067C" w:rsidP="009C6CFC">
            <w:pPr>
              <w:jc w:val="right"/>
              <w:rPr>
                <w:rFonts w:asciiTheme="majorHAnsi" w:hAnsiTheme="majorHAnsi"/>
              </w:rPr>
            </w:pPr>
            <w:r w:rsidRPr="002D49CE">
              <w:rPr>
                <w:rFonts w:asciiTheme="majorHAnsi" w:hAnsiTheme="majorHAnsi"/>
              </w:rPr>
              <w:t>-9,9%</w:t>
            </w:r>
          </w:p>
        </w:tc>
      </w:tr>
      <w:tr w:rsidR="0085067C" w:rsidRPr="002D49CE" w:rsidTr="002D49CE">
        <w:trPr>
          <w:trHeight w:val="264"/>
        </w:trPr>
        <w:tc>
          <w:tcPr>
            <w:tcW w:w="498" w:type="dxa"/>
            <w:shd w:val="clear" w:color="000000" w:fill="FFFFFF"/>
            <w:noWrap/>
            <w:vAlign w:val="bottom"/>
            <w:hideMark/>
          </w:tcPr>
          <w:p w:rsidR="0085067C" w:rsidRPr="002D49CE" w:rsidRDefault="0085067C" w:rsidP="009C6CFC">
            <w:pPr>
              <w:jc w:val="right"/>
              <w:rPr>
                <w:rFonts w:asciiTheme="majorHAnsi" w:hAnsiTheme="majorHAnsi"/>
              </w:rPr>
            </w:pPr>
            <w:r w:rsidRPr="002D49CE">
              <w:rPr>
                <w:rFonts w:asciiTheme="majorHAnsi" w:hAnsiTheme="majorHAnsi"/>
              </w:rPr>
              <w:t>2</w:t>
            </w:r>
          </w:p>
        </w:tc>
        <w:tc>
          <w:tcPr>
            <w:tcW w:w="3188" w:type="dxa"/>
            <w:shd w:val="clear" w:color="000000" w:fill="FFFFFF"/>
            <w:noWrap/>
            <w:vAlign w:val="bottom"/>
            <w:hideMark/>
          </w:tcPr>
          <w:p w:rsidR="0085067C" w:rsidRPr="002D49CE" w:rsidRDefault="0085067C" w:rsidP="009C6CFC">
            <w:pPr>
              <w:rPr>
                <w:rFonts w:asciiTheme="majorHAnsi" w:hAnsiTheme="majorHAnsi"/>
              </w:rPr>
            </w:pPr>
            <w:r w:rsidRPr="002D49CE">
              <w:rPr>
                <w:rFonts w:asciiTheme="majorHAnsi" w:hAnsiTheme="majorHAnsi"/>
              </w:rPr>
              <w:t>Germania</w:t>
            </w:r>
          </w:p>
        </w:tc>
        <w:tc>
          <w:tcPr>
            <w:tcW w:w="1417" w:type="dxa"/>
            <w:shd w:val="clear" w:color="000000" w:fill="FFFFFF"/>
            <w:noWrap/>
            <w:vAlign w:val="bottom"/>
            <w:hideMark/>
          </w:tcPr>
          <w:p w:rsidR="0085067C" w:rsidRPr="002D49CE" w:rsidRDefault="0085067C" w:rsidP="009C6CFC">
            <w:pPr>
              <w:jc w:val="right"/>
              <w:rPr>
                <w:rFonts w:asciiTheme="majorHAnsi" w:hAnsiTheme="majorHAnsi"/>
              </w:rPr>
            </w:pPr>
            <w:r w:rsidRPr="002D49CE">
              <w:rPr>
                <w:rFonts w:asciiTheme="majorHAnsi" w:hAnsiTheme="majorHAnsi"/>
              </w:rPr>
              <w:t>31,77</w:t>
            </w:r>
          </w:p>
        </w:tc>
        <w:tc>
          <w:tcPr>
            <w:tcW w:w="1134" w:type="dxa"/>
            <w:gridSpan w:val="2"/>
            <w:shd w:val="clear" w:color="000000" w:fill="FFFFFF"/>
            <w:noWrap/>
            <w:vAlign w:val="bottom"/>
            <w:hideMark/>
          </w:tcPr>
          <w:p w:rsidR="0085067C" w:rsidRPr="002D49CE" w:rsidRDefault="0085067C" w:rsidP="009C6CFC">
            <w:pPr>
              <w:jc w:val="right"/>
              <w:rPr>
                <w:rFonts w:asciiTheme="majorHAnsi" w:hAnsiTheme="majorHAnsi"/>
              </w:rPr>
            </w:pPr>
            <w:r w:rsidRPr="002D49CE">
              <w:rPr>
                <w:rFonts w:asciiTheme="majorHAnsi" w:hAnsiTheme="majorHAnsi"/>
              </w:rPr>
              <w:t>14,0%</w:t>
            </w:r>
          </w:p>
        </w:tc>
        <w:tc>
          <w:tcPr>
            <w:tcW w:w="1134" w:type="dxa"/>
            <w:shd w:val="clear" w:color="000000" w:fill="FFFFFF"/>
            <w:noWrap/>
            <w:vAlign w:val="bottom"/>
            <w:hideMark/>
          </w:tcPr>
          <w:p w:rsidR="0085067C" w:rsidRPr="002D49CE" w:rsidRDefault="0085067C" w:rsidP="009C6CFC">
            <w:pPr>
              <w:jc w:val="right"/>
              <w:rPr>
                <w:rFonts w:asciiTheme="majorHAnsi" w:hAnsiTheme="majorHAnsi"/>
              </w:rPr>
            </w:pPr>
            <w:r w:rsidRPr="002D49CE">
              <w:rPr>
                <w:rFonts w:asciiTheme="majorHAnsi" w:hAnsiTheme="majorHAnsi"/>
              </w:rPr>
              <w:t xml:space="preserve">7.545 </w:t>
            </w:r>
          </w:p>
        </w:tc>
        <w:tc>
          <w:tcPr>
            <w:tcW w:w="993" w:type="dxa"/>
            <w:shd w:val="clear" w:color="000000" w:fill="FFFFFF"/>
            <w:noWrap/>
            <w:vAlign w:val="bottom"/>
            <w:hideMark/>
          </w:tcPr>
          <w:p w:rsidR="0085067C" w:rsidRPr="002D49CE" w:rsidRDefault="0085067C" w:rsidP="009C6CFC">
            <w:pPr>
              <w:jc w:val="right"/>
              <w:rPr>
                <w:rFonts w:asciiTheme="majorHAnsi" w:hAnsiTheme="majorHAnsi"/>
              </w:rPr>
            </w:pPr>
            <w:r w:rsidRPr="002D49CE">
              <w:rPr>
                <w:rFonts w:asciiTheme="majorHAnsi" w:hAnsiTheme="majorHAnsi"/>
              </w:rPr>
              <w:t>11,1%</w:t>
            </w:r>
          </w:p>
        </w:tc>
      </w:tr>
      <w:tr w:rsidR="0085067C" w:rsidRPr="002D49CE" w:rsidTr="002D49CE">
        <w:trPr>
          <w:trHeight w:val="264"/>
        </w:trPr>
        <w:tc>
          <w:tcPr>
            <w:tcW w:w="498" w:type="dxa"/>
            <w:shd w:val="clear" w:color="000000" w:fill="FFFFFF"/>
            <w:noWrap/>
            <w:vAlign w:val="bottom"/>
            <w:hideMark/>
          </w:tcPr>
          <w:p w:rsidR="0085067C" w:rsidRPr="002D49CE" w:rsidRDefault="0085067C" w:rsidP="009C6CFC">
            <w:pPr>
              <w:jc w:val="right"/>
              <w:rPr>
                <w:rFonts w:asciiTheme="majorHAnsi" w:hAnsiTheme="majorHAnsi"/>
              </w:rPr>
            </w:pPr>
            <w:r w:rsidRPr="002D49CE">
              <w:rPr>
                <w:rFonts w:asciiTheme="majorHAnsi" w:hAnsiTheme="majorHAnsi"/>
              </w:rPr>
              <w:t>3</w:t>
            </w:r>
          </w:p>
        </w:tc>
        <w:tc>
          <w:tcPr>
            <w:tcW w:w="3188" w:type="dxa"/>
            <w:shd w:val="clear" w:color="000000" w:fill="FFFFFF"/>
            <w:noWrap/>
            <w:vAlign w:val="bottom"/>
            <w:hideMark/>
          </w:tcPr>
          <w:p w:rsidR="0085067C" w:rsidRPr="002D49CE" w:rsidRDefault="0085067C" w:rsidP="009C6CFC">
            <w:pPr>
              <w:rPr>
                <w:rFonts w:asciiTheme="majorHAnsi" w:hAnsiTheme="majorHAnsi"/>
              </w:rPr>
            </w:pPr>
            <w:r w:rsidRPr="002D49CE">
              <w:rPr>
                <w:rFonts w:asciiTheme="majorHAnsi" w:hAnsiTheme="majorHAnsi"/>
              </w:rPr>
              <w:t>Regno Unito</w:t>
            </w:r>
          </w:p>
        </w:tc>
        <w:tc>
          <w:tcPr>
            <w:tcW w:w="1417" w:type="dxa"/>
            <w:shd w:val="clear" w:color="000000" w:fill="FFFFFF"/>
            <w:noWrap/>
            <w:vAlign w:val="bottom"/>
            <w:hideMark/>
          </w:tcPr>
          <w:p w:rsidR="0085067C" w:rsidRPr="002D49CE" w:rsidRDefault="0085067C" w:rsidP="009C6CFC">
            <w:pPr>
              <w:jc w:val="right"/>
              <w:rPr>
                <w:rFonts w:asciiTheme="majorHAnsi" w:hAnsiTheme="majorHAnsi"/>
              </w:rPr>
            </w:pPr>
            <w:r w:rsidRPr="002D49CE">
              <w:rPr>
                <w:rFonts w:asciiTheme="majorHAnsi" w:hAnsiTheme="majorHAnsi"/>
              </w:rPr>
              <w:t>16,45</w:t>
            </w:r>
          </w:p>
        </w:tc>
        <w:tc>
          <w:tcPr>
            <w:tcW w:w="1134" w:type="dxa"/>
            <w:gridSpan w:val="2"/>
            <w:shd w:val="clear" w:color="000000" w:fill="FFFFFF"/>
            <w:noWrap/>
            <w:vAlign w:val="bottom"/>
            <w:hideMark/>
          </w:tcPr>
          <w:p w:rsidR="0085067C" w:rsidRPr="002D49CE" w:rsidRDefault="0085067C" w:rsidP="009C6CFC">
            <w:pPr>
              <w:jc w:val="right"/>
              <w:rPr>
                <w:rFonts w:asciiTheme="majorHAnsi" w:hAnsiTheme="majorHAnsi"/>
              </w:rPr>
            </w:pPr>
            <w:r w:rsidRPr="002D49CE">
              <w:rPr>
                <w:rFonts w:asciiTheme="majorHAnsi" w:hAnsiTheme="majorHAnsi"/>
              </w:rPr>
              <w:t>0,5%</w:t>
            </w:r>
          </w:p>
        </w:tc>
        <w:tc>
          <w:tcPr>
            <w:tcW w:w="1134" w:type="dxa"/>
            <w:shd w:val="clear" w:color="000000" w:fill="FFFFFF"/>
            <w:noWrap/>
            <w:vAlign w:val="bottom"/>
            <w:hideMark/>
          </w:tcPr>
          <w:p w:rsidR="0085067C" w:rsidRPr="002D49CE" w:rsidRDefault="0085067C" w:rsidP="009C6CFC">
            <w:pPr>
              <w:jc w:val="right"/>
              <w:rPr>
                <w:rFonts w:asciiTheme="majorHAnsi" w:hAnsiTheme="majorHAnsi"/>
              </w:rPr>
            </w:pPr>
            <w:r w:rsidRPr="002D49CE">
              <w:rPr>
                <w:rFonts w:asciiTheme="majorHAnsi" w:hAnsiTheme="majorHAnsi"/>
              </w:rPr>
              <w:t xml:space="preserve">3.812 </w:t>
            </w:r>
          </w:p>
        </w:tc>
        <w:tc>
          <w:tcPr>
            <w:tcW w:w="993" w:type="dxa"/>
            <w:shd w:val="clear" w:color="000000" w:fill="FFFFFF"/>
            <w:noWrap/>
            <w:vAlign w:val="bottom"/>
            <w:hideMark/>
          </w:tcPr>
          <w:p w:rsidR="0085067C" w:rsidRPr="002D49CE" w:rsidRDefault="0085067C" w:rsidP="009C6CFC">
            <w:pPr>
              <w:jc w:val="right"/>
              <w:rPr>
                <w:rFonts w:asciiTheme="majorHAnsi" w:hAnsiTheme="majorHAnsi"/>
              </w:rPr>
            </w:pPr>
            <w:r w:rsidRPr="002D49CE">
              <w:rPr>
                <w:rFonts w:asciiTheme="majorHAnsi" w:hAnsiTheme="majorHAnsi"/>
              </w:rPr>
              <w:t>-7,1%</w:t>
            </w:r>
          </w:p>
        </w:tc>
      </w:tr>
      <w:tr w:rsidR="0085067C" w:rsidRPr="002D49CE" w:rsidTr="002D49CE">
        <w:trPr>
          <w:trHeight w:val="264"/>
        </w:trPr>
        <w:tc>
          <w:tcPr>
            <w:tcW w:w="498" w:type="dxa"/>
            <w:shd w:val="clear" w:color="000000" w:fill="FFFFFF"/>
            <w:noWrap/>
            <w:vAlign w:val="bottom"/>
            <w:hideMark/>
          </w:tcPr>
          <w:p w:rsidR="0085067C" w:rsidRPr="002D49CE" w:rsidRDefault="0085067C" w:rsidP="009C6CFC">
            <w:pPr>
              <w:jc w:val="right"/>
              <w:rPr>
                <w:rFonts w:asciiTheme="majorHAnsi" w:hAnsiTheme="majorHAnsi"/>
              </w:rPr>
            </w:pPr>
            <w:r w:rsidRPr="002D49CE">
              <w:rPr>
                <w:rFonts w:asciiTheme="majorHAnsi" w:hAnsiTheme="majorHAnsi"/>
              </w:rPr>
              <w:t>4</w:t>
            </w:r>
          </w:p>
        </w:tc>
        <w:tc>
          <w:tcPr>
            <w:tcW w:w="3188" w:type="dxa"/>
            <w:shd w:val="clear" w:color="000000" w:fill="FFFFFF"/>
            <w:noWrap/>
            <w:vAlign w:val="bottom"/>
            <w:hideMark/>
          </w:tcPr>
          <w:p w:rsidR="0085067C" w:rsidRPr="002D49CE" w:rsidRDefault="0085067C" w:rsidP="009C6CFC">
            <w:pPr>
              <w:rPr>
                <w:rFonts w:asciiTheme="majorHAnsi" w:hAnsiTheme="majorHAnsi"/>
              </w:rPr>
            </w:pPr>
            <w:r w:rsidRPr="002D49CE">
              <w:rPr>
                <w:rFonts w:asciiTheme="majorHAnsi" w:hAnsiTheme="majorHAnsi"/>
              </w:rPr>
              <w:t>Svizzera</w:t>
            </w:r>
          </w:p>
        </w:tc>
        <w:tc>
          <w:tcPr>
            <w:tcW w:w="1417" w:type="dxa"/>
            <w:shd w:val="clear" w:color="000000" w:fill="FFFFFF"/>
            <w:noWrap/>
            <w:vAlign w:val="bottom"/>
            <w:hideMark/>
          </w:tcPr>
          <w:p w:rsidR="0085067C" w:rsidRPr="002D49CE" w:rsidRDefault="0085067C" w:rsidP="009C6CFC">
            <w:pPr>
              <w:jc w:val="right"/>
              <w:rPr>
                <w:rFonts w:asciiTheme="majorHAnsi" w:hAnsiTheme="majorHAnsi"/>
              </w:rPr>
            </w:pPr>
            <w:r w:rsidRPr="002D49CE">
              <w:rPr>
                <w:rFonts w:asciiTheme="majorHAnsi" w:hAnsiTheme="majorHAnsi"/>
              </w:rPr>
              <w:t>10,94</w:t>
            </w:r>
          </w:p>
        </w:tc>
        <w:tc>
          <w:tcPr>
            <w:tcW w:w="1134" w:type="dxa"/>
            <w:gridSpan w:val="2"/>
            <w:shd w:val="clear" w:color="000000" w:fill="FFFFFF"/>
            <w:noWrap/>
            <w:vAlign w:val="bottom"/>
            <w:hideMark/>
          </w:tcPr>
          <w:p w:rsidR="0085067C" w:rsidRPr="002D49CE" w:rsidRDefault="0085067C" w:rsidP="009C6CFC">
            <w:pPr>
              <w:jc w:val="right"/>
              <w:rPr>
                <w:rFonts w:asciiTheme="majorHAnsi" w:hAnsiTheme="majorHAnsi"/>
              </w:rPr>
            </w:pPr>
            <w:r w:rsidRPr="002D49CE">
              <w:rPr>
                <w:rFonts w:asciiTheme="majorHAnsi" w:hAnsiTheme="majorHAnsi"/>
              </w:rPr>
              <w:t>3,0%</w:t>
            </w:r>
          </w:p>
        </w:tc>
        <w:tc>
          <w:tcPr>
            <w:tcW w:w="1134" w:type="dxa"/>
            <w:shd w:val="clear" w:color="000000" w:fill="FFFFFF"/>
            <w:noWrap/>
            <w:vAlign w:val="bottom"/>
            <w:hideMark/>
          </w:tcPr>
          <w:p w:rsidR="0085067C" w:rsidRPr="002D49CE" w:rsidRDefault="0085067C" w:rsidP="009C6CFC">
            <w:pPr>
              <w:jc w:val="right"/>
              <w:rPr>
                <w:rFonts w:asciiTheme="majorHAnsi" w:hAnsiTheme="majorHAnsi"/>
              </w:rPr>
            </w:pPr>
            <w:r w:rsidRPr="002D49CE">
              <w:rPr>
                <w:rFonts w:asciiTheme="majorHAnsi" w:hAnsiTheme="majorHAnsi"/>
              </w:rPr>
              <w:t xml:space="preserve">1.681 </w:t>
            </w:r>
          </w:p>
        </w:tc>
        <w:tc>
          <w:tcPr>
            <w:tcW w:w="993" w:type="dxa"/>
            <w:shd w:val="clear" w:color="000000" w:fill="FFFFFF"/>
            <w:noWrap/>
            <w:vAlign w:val="bottom"/>
            <w:hideMark/>
          </w:tcPr>
          <w:p w:rsidR="0085067C" w:rsidRPr="002D49CE" w:rsidRDefault="0085067C" w:rsidP="009C6CFC">
            <w:pPr>
              <w:jc w:val="right"/>
              <w:rPr>
                <w:rFonts w:asciiTheme="majorHAnsi" w:hAnsiTheme="majorHAnsi"/>
              </w:rPr>
            </w:pPr>
            <w:r w:rsidRPr="002D49CE">
              <w:rPr>
                <w:rFonts w:asciiTheme="majorHAnsi" w:hAnsiTheme="majorHAnsi"/>
              </w:rPr>
              <w:t>-4,9%</w:t>
            </w:r>
          </w:p>
        </w:tc>
      </w:tr>
      <w:tr w:rsidR="0085067C" w:rsidRPr="002D49CE" w:rsidTr="002D49CE">
        <w:trPr>
          <w:trHeight w:val="264"/>
        </w:trPr>
        <w:tc>
          <w:tcPr>
            <w:tcW w:w="498" w:type="dxa"/>
            <w:shd w:val="clear" w:color="000000" w:fill="FFFFFF"/>
            <w:noWrap/>
            <w:vAlign w:val="bottom"/>
            <w:hideMark/>
          </w:tcPr>
          <w:p w:rsidR="0085067C" w:rsidRPr="002D49CE" w:rsidRDefault="0085067C" w:rsidP="009C6CFC">
            <w:pPr>
              <w:jc w:val="right"/>
              <w:rPr>
                <w:rFonts w:asciiTheme="majorHAnsi" w:hAnsiTheme="majorHAnsi"/>
              </w:rPr>
            </w:pPr>
            <w:r w:rsidRPr="002D49CE">
              <w:rPr>
                <w:rFonts w:asciiTheme="majorHAnsi" w:hAnsiTheme="majorHAnsi"/>
              </w:rPr>
              <w:t>5</w:t>
            </w:r>
          </w:p>
        </w:tc>
        <w:tc>
          <w:tcPr>
            <w:tcW w:w="3188" w:type="dxa"/>
            <w:shd w:val="clear" w:color="000000" w:fill="FFFFFF"/>
            <w:noWrap/>
            <w:vAlign w:val="bottom"/>
            <w:hideMark/>
          </w:tcPr>
          <w:p w:rsidR="0085067C" w:rsidRPr="002D49CE" w:rsidRDefault="0085067C" w:rsidP="009C6CFC">
            <w:pPr>
              <w:rPr>
                <w:rFonts w:asciiTheme="majorHAnsi" w:hAnsiTheme="majorHAnsi"/>
              </w:rPr>
            </w:pPr>
            <w:r w:rsidRPr="002D49CE">
              <w:rPr>
                <w:rFonts w:asciiTheme="majorHAnsi" w:hAnsiTheme="majorHAnsi"/>
              </w:rPr>
              <w:t>Russia</w:t>
            </w:r>
          </w:p>
        </w:tc>
        <w:tc>
          <w:tcPr>
            <w:tcW w:w="1417" w:type="dxa"/>
            <w:shd w:val="clear" w:color="000000" w:fill="FFFFFF"/>
            <w:noWrap/>
            <w:vAlign w:val="bottom"/>
            <w:hideMark/>
          </w:tcPr>
          <w:p w:rsidR="0085067C" w:rsidRPr="002D49CE" w:rsidRDefault="0085067C" w:rsidP="009C6CFC">
            <w:pPr>
              <w:jc w:val="right"/>
              <w:rPr>
                <w:rFonts w:asciiTheme="majorHAnsi" w:hAnsiTheme="majorHAnsi"/>
              </w:rPr>
            </w:pPr>
            <w:r w:rsidRPr="002D49CE">
              <w:rPr>
                <w:rFonts w:asciiTheme="majorHAnsi" w:hAnsiTheme="majorHAnsi"/>
              </w:rPr>
              <w:t>9,70</w:t>
            </w:r>
          </w:p>
        </w:tc>
        <w:tc>
          <w:tcPr>
            <w:tcW w:w="1134" w:type="dxa"/>
            <w:gridSpan w:val="2"/>
            <w:shd w:val="clear" w:color="000000" w:fill="FFFFFF"/>
            <w:noWrap/>
            <w:vAlign w:val="bottom"/>
            <w:hideMark/>
          </w:tcPr>
          <w:p w:rsidR="0085067C" w:rsidRPr="002D49CE" w:rsidRDefault="0085067C" w:rsidP="009C6CFC">
            <w:pPr>
              <w:jc w:val="right"/>
              <w:rPr>
                <w:rFonts w:asciiTheme="majorHAnsi" w:hAnsiTheme="majorHAnsi"/>
              </w:rPr>
            </w:pPr>
            <w:r w:rsidRPr="002D49CE">
              <w:rPr>
                <w:rFonts w:asciiTheme="majorHAnsi" w:hAnsiTheme="majorHAnsi"/>
              </w:rPr>
              <w:t>2,0%</w:t>
            </w:r>
          </w:p>
        </w:tc>
        <w:tc>
          <w:tcPr>
            <w:tcW w:w="1134" w:type="dxa"/>
            <w:shd w:val="clear" w:color="000000" w:fill="FFFFFF"/>
            <w:noWrap/>
            <w:vAlign w:val="bottom"/>
            <w:hideMark/>
          </w:tcPr>
          <w:p w:rsidR="0085067C" w:rsidRPr="002D49CE" w:rsidRDefault="0085067C" w:rsidP="009C6CFC">
            <w:pPr>
              <w:jc w:val="right"/>
              <w:rPr>
                <w:rFonts w:asciiTheme="majorHAnsi" w:hAnsiTheme="majorHAnsi"/>
              </w:rPr>
            </w:pPr>
            <w:r w:rsidRPr="002D49CE">
              <w:rPr>
                <w:rFonts w:asciiTheme="majorHAnsi" w:hAnsiTheme="majorHAnsi"/>
              </w:rPr>
              <w:t xml:space="preserve">1.027 </w:t>
            </w:r>
          </w:p>
        </w:tc>
        <w:tc>
          <w:tcPr>
            <w:tcW w:w="993" w:type="dxa"/>
            <w:shd w:val="clear" w:color="000000" w:fill="FFFFFF"/>
            <w:noWrap/>
            <w:vAlign w:val="bottom"/>
            <w:hideMark/>
          </w:tcPr>
          <w:p w:rsidR="0085067C" w:rsidRPr="002D49CE" w:rsidRDefault="0085067C" w:rsidP="009C6CFC">
            <w:pPr>
              <w:jc w:val="right"/>
              <w:rPr>
                <w:rFonts w:asciiTheme="majorHAnsi" w:hAnsiTheme="majorHAnsi"/>
              </w:rPr>
            </w:pPr>
            <w:r w:rsidRPr="002D49CE">
              <w:rPr>
                <w:rFonts w:asciiTheme="majorHAnsi" w:hAnsiTheme="majorHAnsi"/>
              </w:rPr>
              <w:t>-1,4%</w:t>
            </w:r>
          </w:p>
        </w:tc>
      </w:tr>
      <w:tr w:rsidR="0085067C" w:rsidRPr="002D49CE" w:rsidTr="002D49CE">
        <w:trPr>
          <w:trHeight w:val="264"/>
        </w:trPr>
        <w:tc>
          <w:tcPr>
            <w:tcW w:w="498" w:type="dxa"/>
            <w:shd w:val="clear" w:color="000000" w:fill="FFFFFF"/>
            <w:noWrap/>
            <w:vAlign w:val="bottom"/>
            <w:hideMark/>
          </w:tcPr>
          <w:p w:rsidR="0085067C" w:rsidRPr="002D49CE" w:rsidRDefault="0085067C" w:rsidP="009C6CFC">
            <w:pPr>
              <w:jc w:val="right"/>
              <w:rPr>
                <w:rFonts w:asciiTheme="majorHAnsi" w:hAnsiTheme="majorHAnsi"/>
              </w:rPr>
            </w:pPr>
            <w:r w:rsidRPr="002D49CE">
              <w:rPr>
                <w:rFonts w:asciiTheme="majorHAnsi" w:hAnsiTheme="majorHAnsi"/>
              </w:rPr>
              <w:t>6</w:t>
            </w:r>
          </w:p>
        </w:tc>
        <w:tc>
          <w:tcPr>
            <w:tcW w:w="3188" w:type="dxa"/>
            <w:shd w:val="clear" w:color="000000" w:fill="FFFFFF"/>
            <w:noWrap/>
            <w:vAlign w:val="bottom"/>
            <w:hideMark/>
          </w:tcPr>
          <w:p w:rsidR="0085067C" w:rsidRPr="002D49CE" w:rsidRDefault="0085067C" w:rsidP="009C6CFC">
            <w:pPr>
              <w:rPr>
                <w:rFonts w:asciiTheme="majorHAnsi" w:hAnsiTheme="majorHAnsi"/>
              </w:rPr>
            </w:pPr>
            <w:r w:rsidRPr="002D49CE">
              <w:rPr>
                <w:rFonts w:asciiTheme="majorHAnsi" w:hAnsiTheme="majorHAnsi"/>
              </w:rPr>
              <w:t>Stati Uniti</w:t>
            </w:r>
          </w:p>
        </w:tc>
        <w:tc>
          <w:tcPr>
            <w:tcW w:w="1417" w:type="dxa"/>
            <w:shd w:val="clear" w:color="000000" w:fill="FFFFFF"/>
            <w:noWrap/>
            <w:vAlign w:val="bottom"/>
            <w:hideMark/>
          </w:tcPr>
          <w:p w:rsidR="0085067C" w:rsidRPr="002D49CE" w:rsidRDefault="0085067C" w:rsidP="009C6CFC">
            <w:pPr>
              <w:jc w:val="right"/>
              <w:rPr>
                <w:rFonts w:asciiTheme="majorHAnsi" w:hAnsiTheme="majorHAnsi"/>
              </w:rPr>
            </w:pPr>
            <w:r w:rsidRPr="002D49CE">
              <w:rPr>
                <w:rFonts w:asciiTheme="majorHAnsi" w:hAnsiTheme="majorHAnsi"/>
              </w:rPr>
              <w:t>9,13</w:t>
            </w:r>
          </w:p>
        </w:tc>
        <w:tc>
          <w:tcPr>
            <w:tcW w:w="1134" w:type="dxa"/>
            <w:gridSpan w:val="2"/>
            <w:shd w:val="clear" w:color="000000" w:fill="FFFFFF"/>
            <w:noWrap/>
            <w:vAlign w:val="bottom"/>
            <w:hideMark/>
          </w:tcPr>
          <w:p w:rsidR="0085067C" w:rsidRPr="002D49CE" w:rsidRDefault="0085067C" w:rsidP="009C6CFC">
            <w:pPr>
              <w:jc w:val="right"/>
              <w:rPr>
                <w:rFonts w:asciiTheme="majorHAnsi" w:hAnsiTheme="majorHAnsi"/>
              </w:rPr>
            </w:pPr>
            <w:r w:rsidRPr="002D49CE">
              <w:rPr>
                <w:rFonts w:asciiTheme="majorHAnsi" w:hAnsiTheme="majorHAnsi"/>
              </w:rPr>
              <w:t>2,5%</w:t>
            </w:r>
          </w:p>
        </w:tc>
        <w:tc>
          <w:tcPr>
            <w:tcW w:w="1134" w:type="dxa"/>
            <w:shd w:val="clear" w:color="000000" w:fill="FFFFFF"/>
            <w:noWrap/>
            <w:vAlign w:val="bottom"/>
            <w:hideMark/>
          </w:tcPr>
          <w:p w:rsidR="0085067C" w:rsidRPr="002D49CE" w:rsidRDefault="0085067C" w:rsidP="009C6CFC">
            <w:pPr>
              <w:jc w:val="right"/>
              <w:rPr>
                <w:rFonts w:asciiTheme="majorHAnsi" w:hAnsiTheme="majorHAnsi"/>
              </w:rPr>
            </w:pPr>
            <w:r w:rsidRPr="002D49CE">
              <w:rPr>
                <w:rFonts w:asciiTheme="majorHAnsi" w:hAnsiTheme="majorHAnsi"/>
              </w:rPr>
              <w:t xml:space="preserve">2.574 </w:t>
            </w:r>
          </w:p>
        </w:tc>
        <w:tc>
          <w:tcPr>
            <w:tcW w:w="993" w:type="dxa"/>
            <w:shd w:val="clear" w:color="000000" w:fill="FFFFFF"/>
            <w:noWrap/>
            <w:vAlign w:val="bottom"/>
            <w:hideMark/>
          </w:tcPr>
          <w:p w:rsidR="0085067C" w:rsidRPr="002D49CE" w:rsidRDefault="0085067C" w:rsidP="009C6CFC">
            <w:pPr>
              <w:jc w:val="right"/>
              <w:rPr>
                <w:rFonts w:asciiTheme="majorHAnsi" w:hAnsiTheme="majorHAnsi"/>
              </w:rPr>
            </w:pPr>
            <w:r w:rsidRPr="002D49CE">
              <w:rPr>
                <w:rFonts w:asciiTheme="majorHAnsi" w:hAnsiTheme="majorHAnsi"/>
              </w:rPr>
              <w:t>6,5%</w:t>
            </w:r>
          </w:p>
        </w:tc>
      </w:tr>
      <w:tr w:rsidR="0085067C" w:rsidRPr="002D49CE" w:rsidTr="002D49CE">
        <w:trPr>
          <w:trHeight w:val="264"/>
        </w:trPr>
        <w:tc>
          <w:tcPr>
            <w:tcW w:w="498" w:type="dxa"/>
            <w:shd w:val="clear" w:color="000000" w:fill="FFFFFF"/>
            <w:noWrap/>
            <w:vAlign w:val="bottom"/>
            <w:hideMark/>
          </w:tcPr>
          <w:p w:rsidR="0085067C" w:rsidRPr="002D49CE" w:rsidRDefault="0085067C" w:rsidP="009C6CFC">
            <w:pPr>
              <w:jc w:val="right"/>
              <w:rPr>
                <w:rFonts w:asciiTheme="majorHAnsi" w:hAnsiTheme="majorHAnsi"/>
              </w:rPr>
            </w:pPr>
            <w:r w:rsidRPr="002D49CE">
              <w:rPr>
                <w:rFonts w:asciiTheme="majorHAnsi" w:hAnsiTheme="majorHAnsi"/>
              </w:rPr>
              <w:t>7</w:t>
            </w:r>
          </w:p>
        </w:tc>
        <w:tc>
          <w:tcPr>
            <w:tcW w:w="3188" w:type="dxa"/>
            <w:shd w:val="clear" w:color="000000" w:fill="FFFFFF"/>
            <w:noWrap/>
            <w:vAlign w:val="bottom"/>
            <w:hideMark/>
          </w:tcPr>
          <w:p w:rsidR="0085067C" w:rsidRPr="002D49CE" w:rsidRDefault="0085067C" w:rsidP="009C6CFC">
            <w:pPr>
              <w:rPr>
                <w:rFonts w:asciiTheme="majorHAnsi" w:hAnsiTheme="majorHAnsi"/>
              </w:rPr>
            </w:pPr>
            <w:r w:rsidRPr="002D49CE">
              <w:rPr>
                <w:rFonts w:asciiTheme="majorHAnsi" w:hAnsiTheme="majorHAnsi"/>
              </w:rPr>
              <w:t>Spagna</w:t>
            </w:r>
          </w:p>
        </w:tc>
        <w:tc>
          <w:tcPr>
            <w:tcW w:w="1417" w:type="dxa"/>
            <w:shd w:val="clear" w:color="000000" w:fill="FFFFFF"/>
            <w:noWrap/>
            <w:vAlign w:val="bottom"/>
            <w:hideMark/>
          </w:tcPr>
          <w:p w:rsidR="0085067C" w:rsidRPr="002D49CE" w:rsidRDefault="0085067C" w:rsidP="009C6CFC">
            <w:pPr>
              <w:jc w:val="right"/>
              <w:rPr>
                <w:rFonts w:asciiTheme="majorHAnsi" w:hAnsiTheme="majorHAnsi"/>
              </w:rPr>
            </w:pPr>
            <w:r w:rsidRPr="002D49CE">
              <w:rPr>
                <w:rFonts w:asciiTheme="majorHAnsi" w:hAnsiTheme="majorHAnsi"/>
              </w:rPr>
              <w:t>8,43</w:t>
            </w:r>
          </w:p>
        </w:tc>
        <w:tc>
          <w:tcPr>
            <w:tcW w:w="1134" w:type="dxa"/>
            <w:gridSpan w:val="2"/>
            <w:shd w:val="clear" w:color="000000" w:fill="FFFFFF"/>
            <w:noWrap/>
            <w:vAlign w:val="bottom"/>
            <w:hideMark/>
          </w:tcPr>
          <w:p w:rsidR="0085067C" w:rsidRPr="002D49CE" w:rsidRDefault="0085067C" w:rsidP="009C6CFC">
            <w:pPr>
              <w:jc w:val="right"/>
              <w:rPr>
                <w:rFonts w:asciiTheme="majorHAnsi" w:hAnsiTheme="majorHAnsi"/>
              </w:rPr>
            </w:pPr>
            <w:r w:rsidRPr="002D49CE">
              <w:rPr>
                <w:rFonts w:asciiTheme="majorHAnsi" w:hAnsiTheme="majorHAnsi"/>
              </w:rPr>
              <w:t>7,7%</w:t>
            </w:r>
          </w:p>
        </w:tc>
        <w:tc>
          <w:tcPr>
            <w:tcW w:w="1134" w:type="dxa"/>
            <w:shd w:val="clear" w:color="000000" w:fill="FFFFFF"/>
            <w:noWrap/>
            <w:vAlign w:val="bottom"/>
            <w:hideMark/>
          </w:tcPr>
          <w:p w:rsidR="0085067C" w:rsidRPr="002D49CE" w:rsidRDefault="0085067C" w:rsidP="009C6CFC">
            <w:pPr>
              <w:jc w:val="right"/>
              <w:rPr>
                <w:rFonts w:asciiTheme="majorHAnsi" w:hAnsiTheme="majorHAnsi"/>
              </w:rPr>
            </w:pPr>
            <w:r w:rsidRPr="002D49CE">
              <w:rPr>
                <w:rFonts w:asciiTheme="majorHAnsi" w:hAnsiTheme="majorHAnsi"/>
              </w:rPr>
              <w:t xml:space="preserve">1.920 </w:t>
            </w:r>
          </w:p>
        </w:tc>
        <w:tc>
          <w:tcPr>
            <w:tcW w:w="993" w:type="dxa"/>
            <w:shd w:val="clear" w:color="000000" w:fill="FFFFFF"/>
            <w:noWrap/>
            <w:vAlign w:val="bottom"/>
            <w:hideMark/>
          </w:tcPr>
          <w:p w:rsidR="0085067C" w:rsidRPr="002D49CE" w:rsidRDefault="0085067C" w:rsidP="009C6CFC">
            <w:pPr>
              <w:jc w:val="right"/>
              <w:rPr>
                <w:rFonts w:asciiTheme="majorHAnsi" w:hAnsiTheme="majorHAnsi"/>
              </w:rPr>
            </w:pPr>
            <w:r w:rsidRPr="002D49CE">
              <w:rPr>
                <w:rFonts w:asciiTheme="majorHAnsi" w:hAnsiTheme="majorHAnsi"/>
              </w:rPr>
              <w:t>1,2%</w:t>
            </w:r>
          </w:p>
        </w:tc>
      </w:tr>
      <w:tr w:rsidR="0085067C" w:rsidRPr="002D49CE" w:rsidTr="002D49CE">
        <w:trPr>
          <w:trHeight w:val="264"/>
        </w:trPr>
        <w:tc>
          <w:tcPr>
            <w:tcW w:w="498" w:type="dxa"/>
            <w:shd w:val="clear" w:color="000000" w:fill="FFFFFF"/>
            <w:noWrap/>
            <w:vAlign w:val="bottom"/>
            <w:hideMark/>
          </w:tcPr>
          <w:p w:rsidR="0085067C" w:rsidRPr="002D49CE" w:rsidRDefault="0085067C" w:rsidP="009C6CFC">
            <w:pPr>
              <w:jc w:val="right"/>
              <w:rPr>
                <w:rFonts w:asciiTheme="majorHAnsi" w:hAnsiTheme="majorHAnsi"/>
              </w:rPr>
            </w:pPr>
            <w:r w:rsidRPr="002D49CE">
              <w:rPr>
                <w:rFonts w:asciiTheme="majorHAnsi" w:hAnsiTheme="majorHAnsi"/>
              </w:rPr>
              <w:t>8</w:t>
            </w:r>
          </w:p>
        </w:tc>
        <w:tc>
          <w:tcPr>
            <w:tcW w:w="3188" w:type="dxa"/>
            <w:shd w:val="clear" w:color="000000" w:fill="FFFFFF"/>
            <w:noWrap/>
            <w:vAlign w:val="bottom"/>
            <w:hideMark/>
          </w:tcPr>
          <w:p w:rsidR="0085067C" w:rsidRPr="002D49CE" w:rsidRDefault="0085067C" w:rsidP="009C6CFC">
            <w:pPr>
              <w:rPr>
                <w:rFonts w:asciiTheme="majorHAnsi" w:hAnsiTheme="majorHAnsi"/>
              </w:rPr>
            </w:pPr>
            <w:r w:rsidRPr="002D49CE">
              <w:rPr>
                <w:rFonts w:asciiTheme="majorHAnsi" w:hAnsiTheme="majorHAnsi"/>
              </w:rPr>
              <w:t>Belgio</w:t>
            </w:r>
          </w:p>
        </w:tc>
        <w:tc>
          <w:tcPr>
            <w:tcW w:w="1417" w:type="dxa"/>
            <w:shd w:val="clear" w:color="000000" w:fill="FFFFFF"/>
            <w:noWrap/>
            <w:vAlign w:val="bottom"/>
            <w:hideMark/>
          </w:tcPr>
          <w:p w:rsidR="0085067C" w:rsidRPr="002D49CE" w:rsidRDefault="0085067C" w:rsidP="009C6CFC">
            <w:pPr>
              <w:jc w:val="right"/>
              <w:rPr>
                <w:rFonts w:asciiTheme="majorHAnsi" w:hAnsiTheme="majorHAnsi"/>
              </w:rPr>
            </w:pPr>
            <w:r w:rsidRPr="002D49CE">
              <w:rPr>
                <w:rFonts w:asciiTheme="majorHAnsi" w:hAnsiTheme="majorHAnsi"/>
              </w:rPr>
              <w:t>5,76</w:t>
            </w:r>
          </w:p>
        </w:tc>
        <w:tc>
          <w:tcPr>
            <w:tcW w:w="1134" w:type="dxa"/>
            <w:gridSpan w:val="2"/>
            <w:shd w:val="clear" w:color="000000" w:fill="FFFFFF"/>
            <w:noWrap/>
            <w:vAlign w:val="bottom"/>
            <w:hideMark/>
          </w:tcPr>
          <w:p w:rsidR="0085067C" w:rsidRPr="002D49CE" w:rsidRDefault="0085067C" w:rsidP="009C6CFC">
            <w:pPr>
              <w:jc w:val="right"/>
              <w:rPr>
                <w:rFonts w:asciiTheme="majorHAnsi" w:hAnsiTheme="majorHAnsi"/>
              </w:rPr>
            </w:pPr>
            <w:r w:rsidRPr="002D49CE">
              <w:rPr>
                <w:rFonts w:asciiTheme="majorHAnsi" w:hAnsiTheme="majorHAnsi"/>
              </w:rPr>
              <w:t>8,1%</w:t>
            </w:r>
          </w:p>
        </w:tc>
        <w:tc>
          <w:tcPr>
            <w:tcW w:w="1134" w:type="dxa"/>
            <w:shd w:val="clear" w:color="000000" w:fill="FFFFFF"/>
            <w:noWrap/>
            <w:vAlign w:val="bottom"/>
            <w:hideMark/>
          </w:tcPr>
          <w:p w:rsidR="0085067C" w:rsidRPr="002D49CE" w:rsidRDefault="0085067C" w:rsidP="009C6CFC">
            <w:pPr>
              <w:jc w:val="right"/>
              <w:rPr>
                <w:rFonts w:asciiTheme="majorHAnsi" w:hAnsiTheme="majorHAnsi"/>
              </w:rPr>
            </w:pPr>
            <w:r w:rsidRPr="002D49CE">
              <w:rPr>
                <w:rFonts w:asciiTheme="majorHAnsi" w:hAnsiTheme="majorHAnsi"/>
              </w:rPr>
              <w:t xml:space="preserve">974 </w:t>
            </w:r>
          </w:p>
        </w:tc>
        <w:tc>
          <w:tcPr>
            <w:tcW w:w="993" w:type="dxa"/>
            <w:shd w:val="clear" w:color="000000" w:fill="FFFFFF"/>
            <w:noWrap/>
            <w:vAlign w:val="bottom"/>
            <w:hideMark/>
          </w:tcPr>
          <w:p w:rsidR="0085067C" w:rsidRPr="002D49CE" w:rsidRDefault="0085067C" w:rsidP="009C6CFC">
            <w:pPr>
              <w:jc w:val="right"/>
              <w:rPr>
                <w:rFonts w:asciiTheme="majorHAnsi" w:hAnsiTheme="majorHAnsi"/>
              </w:rPr>
            </w:pPr>
            <w:r w:rsidRPr="002D49CE">
              <w:rPr>
                <w:rFonts w:asciiTheme="majorHAnsi" w:hAnsiTheme="majorHAnsi"/>
              </w:rPr>
              <w:t>4,3%</w:t>
            </w:r>
          </w:p>
        </w:tc>
      </w:tr>
      <w:tr w:rsidR="0085067C" w:rsidRPr="002D49CE" w:rsidTr="002D49CE">
        <w:trPr>
          <w:trHeight w:val="264"/>
        </w:trPr>
        <w:tc>
          <w:tcPr>
            <w:tcW w:w="498" w:type="dxa"/>
            <w:shd w:val="clear" w:color="000000" w:fill="FFFFFF"/>
            <w:noWrap/>
            <w:vAlign w:val="bottom"/>
            <w:hideMark/>
          </w:tcPr>
          <w:p w:rsidR="0085067C" w:rsidRPr="002D49CE" w:rsidRDefault="0085067C" w:rsidP="009C6CFC">
            <w:pPr>
              <w:jc w:val="right"/>
              <w:rPr>
                <w:rFonts w:asciiTheme="majorHAnsi" w:hAnsiTheme="majorHAnsi"/>
              </w:rPr>
            </w:pPr>
            <w:r w:rsidRPr="002D49CE">
              <w:rPr>
                <w:rFonts w:asciiTheme="majorHAnsi" w:hAnsiTheme="majorHAnsi"/>
              </w:rPr>
              <w:t>9</w:t>
            </w:r>
          </w:p>
        </w:tc>
        <w:tc>
          <w:tcPr>
            <w:tcW w:w="3188" w:type="dxa"/>
            <w:shd w:val="clear" w:color="000000" w:fill="FFFFFF"/>
            <w:noWrap/>
            <w:vAlign w:val="bottom"/>
            <w:hideMark/>
          </w:tcPr>
          <w:p w:rsidR="0085067C" w:rsidRPr="002D49CE" w:rsidRDefault="0085067C" w:rsidP="009C6CFC">
            <w:pPr>
              <w:rPr>
                <w:rFonts w:asciiTheme="majorHAnsi" w:hAnsiTheme="majorHAnsi"/>
              </w:rPr>
            </w:pPr>
            <w:r w:rsidRPr="002D49CE">
              <w:rPr>
                <w:rFonts w:asciiTheme="majorHAnsi" w:hAnsiTheme="majorHAnsi"/>
              </w:rPr>
              <w:t>Polonia</w:t>
            </w:r>
          </w:p>
        </w:tc>
        <w:tc>
          <w:tcPr>
            <w:tcW w:w="1417" w:type="dxa"/>
            <w:shd w:val="clear" w:color="000000" w:fill="FFFFFF"/>
            <w:noWrap/>
            <w:vAlign w:val="bottom"/>
            <w:hideMark/>
          </w:tcPr>
          <w:p w:rsidR="0085067C" w:rsidRPr="002D49CE" w:rsidRDefault="0085067C" w:rsidP="009C6CFC">
            <w:pPr>
              <w:jc w:val="right"/>
              <w:rPr>
                <w:rFonts w:asciiTheme="majorHAnsi" w:hAnsiTheme="majorHAnsi"/>
              </w:rPr>
            </w:pPr>
            <w:r w:rsidRPr="002D49CE">
              <w:rPr>
                <w:rFonts w:asciiTheme="majorHAnsi" w:hAnsiTheme="majorHAnsi"/>
              </w:rPr>
              <w:t>5,58</w:t>
            </w:r>
          </w:p>
        </w:tc>
        <w:tc>
          <w:tcPr>
            <w:tcW w:w="1134" w:type="dxa"/>
            <w:gridSpan w:val="2"/>
            <w:shd w:val="clear" w:color="000000" w:fill="FFFFFF"/>
            <w:noWrap/>
            <w:vAlign w:val="bottom"/>
            <w:hideMark/>
          </w:tcPr>
          <w:p w:rsidR="0085067C" w:rsidRPr="002D49CE" w:rsidRDefault="0085067C" w:rsidP="009C6CFC">
            <w:pPr>
              <w:jc w:val="right"/>
              <w:rPr>
                <w:rFonts w:asciiTheme="majorHAnsi" w:hAnsiTheme="majorHAnsi"/>
              </w:rPr>
            </w:pPr>
            <w:r w:rsidRPr="002D49CE">
              <w:rPr>
                <w:rFonts w:asciiTheme="majorHAnsi" w:hAnsiTheme="majorHAnsi"/>
              </w:rPr>
              <w:t>17,0%</w:t>
            </w:r>
          </w:p>
        </w:tc>
        <w:tc>
          <w:tcPr>
            <w:tcW w:w="1134" w:type="dxa"/>
            <w:shd w:val="clear" w:color="000000" w:fill="FFFFFF"/>
            <w:noWrap/>
            <w:vAlign w:val="bottom"/>
            <w:hideMark/>
          </w:tcPr>
          <w:p w:rsidR="0085067C" w:rsidRPr="002D49CE" w:rsidRDefault="0085067C" w:rsidP="009C6CFC">
            <w:pPr>
              <w:jc w:val="right"/>
              <w:rPr>
                <w:rFonts w:asciiTheme="majorHAnsi" w:hAnsiTheme="majorHAnsi"/>
              </w:rPr>
            </w:pPr>
            <w:r w:rsidRPr="002D49CE">
              <w:rPr>
                <w:rFonts w:asciiTheme="majorHAnsi" w:hAnsiTheme="majorHAnsi"/>
              </w:rPr>
              <w:t xml:space="preserve">2.645 </w:t>
            </w:r>
          </w:p>
        </w:tc>
        <w:tc>
          <w:tcPr>
            <w:tcW w:w="993" w:type="dxa"/>
            <w:shd w:val="clear" w:color="000000" w:fill="FFFFFF"/>
            <w:noWrap/>
            <w:vAlign w:val="bottom"/>
            <w:hideMark/>
          </w:tcPr>
          <w:p w:rsidR="0085067C" w:rsidRPr="002D49CE" w:rsidRDefault="0085067C" w:rsidP="009C6CFC">
            <w:pPr>
              <w:jc w:val="right"/>
              <w:rPr>
                <w:rFonts w:asciiTheme="majorHAnsi" w:hAnsiTheme="majorHAnsi"/>
              </w:rPr>
            </w:pPr>
            <w:r w:rsidRPr="002D49CE">
              <w:rPr>
                <w:rFonts w:asciiTheme="majorHAnsi" w:hAnsiTheme="majorHAnsi"/>
              </w:rPr>
              <w:t>31,7%</w:t>
            </w:r>
          </w:p>
        </w:tc>
      </w:tr>
      <w:tr w:rsidR="0085067C" w:rsidRPr="002D49CE" w:rsidTr="002D49CE">
        <w:trPr>
          <w:trHeight w:val="264"/>
        </w:trPr>
        <w:tc>
          <w:tcPr>
            <w:tcW w:w="498" w:type="dxa"/>
            <w:shd w:val="clear" w:color="000000" w:fill="FFFFFF"/>
            <w:noWrap/>
            <w:vAlign w:val="bottom"/>
            <w:hideMark/>
          </w:tcPr>
          <w:p w:rsidR="0085067C" w:rsidRPr="002D49CE" w:rsidRDefault="0085067C" w:rsidP="009C6CFC">
            <w:pPr>
              <w:jc w:val="right"/>
              <w:rPr>
                <w:rFonts w:asciiTheme="majorHAnsi" w:hAnsiTheme="majorHAnsi"/>
              </w:rPr>
            </w:pPr>
            <w:r w:rsidRPr="002D49CE">
              <w:rPr>
                <w:rFonts w:asciiTheme="majorHAnsi" w:hAnsiTheme="majorHAnsi"/>
              </w:rPr>
              <w:t>10</w:t>
            </w:r>
          </w:p>
        </w:tc>
        <w:tc>
          <w:tcPr>
            <w:tcW w:w="3188" w:type="dxa"/>
            <w:shd w:val="clear" w:color="000000" w:fill="FFFFFF"/>
            <w:noWrap/>
            <w:vAlign w:val="bottom"/>
            <w:hideMark/>
          </w:tcPr>
          <w:p w:rsidR="0085067C" w:rsidRPr="002D49CE" w:rsidRDefault="0085067C" w:rsidP="009C6CFC">
            <w:pPr>
              <w:rPr>
                <w:rFonts w:asciiTheme="majorHAnsi" w:hAnsiTheme="majorHAnsi"/>
              </w:rPr>
            </w:pPr>
            <w:r w:rsidRPr="002D49CE">
              <w:rPr>
                <w:rFonts w:asciiTheme="majorHAnsi" w:hAnsiTheme="majorHAnsi"/>
              </w:rPr>
              <w:t>Austria</w:t>
            </w:r>
          </w:p>
        </w:tc>
        <w:tc>
          <w:tcPr>
            <w:tcW w:w="1417" w:type="dxa"/>
            <w:shd w:val="clear" w:color="000000" w:fill="FFFFFF"/>
            <w:noWrap/>
            <w:vAlign w:val="bottom"/>
            <w:hideMark/>
          </w:tcPr>
          <w:p w:rsidR="0085067C" w:rsidRPr="002D49CE" w:rsidRDefault="0085067C" w:rsidP="009C6CFC">
            <w:pPr>
              <w:jc w:val="right"/>
              <w:rPr>
                <w:rFonts w:asciiTheme="majorHAnsi" w:hAnsiTheme="majorHAnsi"/>
              </w:rPr>
            </w:pPr>
            <w:r w:rsidRPr="002D49CE">
              <w:rPr>
                <w:rFonts w:asciiTheme="majorHAnsi" w:hAnsiTheme="majorHAnsi"/>
              </w:rPr>
              <w:t>4,14</w:t>
            </w:r>
          </w:p>
        </w:tc>
        <w:tc>
          <w:tcPr>
            <w:tcW w:w="1134" w:type="dxa"/>
            <w:gridSpan w:val="2"/>
            <w:shd w:val="clear" w:color="000000" w:fill="FFFFFF"/>
            <w:noWrap/>
            <w:vAlign w:val="bottom"/>
            <w:hideMark/>
          </w:tcPr>
          <w:p w:rsidR="0085067C" w:rsidRPr="002D49CE" w:rsidRDefault="0085067C" w:rsidP="009C6CFC">
            <w:pPr>
              <w:jc w:val="right"/>
              <w:rPr>
                <w:rFonts w:asciiTheme="majorHAnsi" w:hAnsiTheme="majorHAnsi"/>
              </w:rPr>
            </w:pPr>
            <w:r w:rsidRPr="002D49CE">
              <w:rPr>
                <w:rFonts w:asciiTheme="majorHAnsi" w:hAnsiTheme="majorHAnsi"/>
              </w:rPr>
              <w:t>-17,0%</w:t>
            </w:r>
          </w:p>
        </w:tc>
        <w:tc>
          <w:tcPr>
            <w:tcW w:w="1134" w:type="dxa"/>
            <w:shd w:val="clear" w:color="000000" w:fill="FFFFFF"/>
            <w:noWrap/>
            <w:vAlign w:val="bottom"/>
            <w:hideMark/>
          </w:tcPr>
          <w:p w:rsidR="0085067C" w:rsidRPr="002D49CE" w:rsidRDefault="0085067C" w:rsidP="009C6CFC">
            <w:pPr>
              <w:jc w:val="right"/>
              <w:rPr>
                <w:rFonts w:asciiTheme="majorHAnsi" w:hAnsiTheme="majorHAnsi"/>
              </w:rPr>
            </w:pPr>
            <w:r w:rsidRPr="002D49CE">
              <w:rPr>
                <w:rFonts w:asciiTheme="majorHAnsi" w:hAnsiTheme="majorHAnsi"/>
              </w:rPr>
              <w:t xml:space="preserve">873 </w:t>
            </w:r>
          </w:p>
        </w:tc>
        <w:tc>
          <w:tcPr>
            <w:tcW w:w="993" w:type="dxa"/>
            <w:shd w:val="clear" w:color="000000" w:fill="FFFFFF"/>
            <w:noWrap/>
            <w:vAlign w:val="bottom"/>
            <w:hideMark/>
          </w:tcPr>
          <w:p w:rsidR="0085067C" w:rsidRPr="002D49CE" w:rsidRDefault="0085067C" w:rsidP="009C6CFC">
            <w:pPr>
              <w:jc w:val="right"/>
              <w:rPr>
                <w:rFonts w:asciiTheme="majorHAnsi" w:hAnsiTheme="majorHAnsi"/>
              </w:rPr>
            </w:pPr>
            <w:r w:rsidRPr="002D49CE">
              <w:rPr>
                <w:rFonts w:asciiTheme="majorHAnsi" w:hAnsiTheme="majorHAnsi"/>
              </w:rPr>
              <w:t>-35,7%</w:t>
            </w:r>
          </w:p>
        </w:tc>
      </w:tr>
      <w:tr w:rsidR="0085067C" w:rsidRPr="002D49CE" w:rsidTr="002D49CE">
        <w:trPr>
          <w:trHeight w:val="264"/>
        </w:trPr>
        <w:tc>
          <w:tcPr>
            <w:tcW w:w="498" w:type="dxa"/>
            <w:shd w:val="clear" w:color="000000" w:fill="FFFFFF"/>
            <w:noWrap/>
            <w:vAlign w:val="bottom"/>
          </w:tcPr>
          <w:p w:rsidR="0085067C" w:rsidRPr="002D49CE" w:rsidRDefault="0085067C" w:rsidP="009C6CFC">
            <w:pPr>
              <w:jc w:val="right"/>
              <w:rPr>
                <w:rFonts w:asciiTheme="majorHAnsi" w:hAnsiTheme="majorHAnsi"/>
              </w:rPr>
            </w:pPr>
            <w:r w:rsidRPr="002D49CE">
              <w:rPr>
                <w:rFonts w:asciiTheme="majorHAnsi" w:hAnsiTheme="majorHAnsi"/>
              </w:rPr>
              <w:t>13</w:t>
            </w:r>
          </w:p>
        </w:tc>
        <w:tc>
          <w:tcPr>
            <w:tcW w:w="3188" w:type="dxa"/>
            <w:shd w:val="clear" w:color="000000" w:fill="FFFFFF"/>
            <w:noWrap/>
            <w:vAlign w:val="bottom"/>
          </w:tcPr>
          <w:p w:rsidR="0085067C" w:rsidRPr="002D49CE" w:rsidRDefault="0085067C" w:rsidP="009C6CFC">
            <w:pPr>
              <w:rPr>
                <w:rFonts w:asciiTheme="majorHAnsi" w:hAnsiTheme="majorHAnsi"/>
              </w:rPr>
            </w:pPr>
            <w:r w:rsidRPr="002D49CE">
              <w:rPr>
                <w:rFonts w:asciiTheme="majorHAnsi" w:hAnsiTheme="majorHAnsi"/>
              </w:rPr>
              <w:t>Cina</w:t>
            </w:r>
          </w:p>
        </w:tc>
        <w:tc>
          <w:tcPr>
            <w:tcW w:w="1417" w:type="dxa"/>
            <w:shd w:val="clear" w:color="000000" w:fill="FFFFFF"/>
            <w:noWrap/>
            <w:vAlign w:val="bottom"/>
          </w:tcPr>
          <w:p w:rsidR="0085067C" w:rsidRPr="002D49CE" w:rsidRDefault="0085067C" w:rsidP="009C6CFC">
            <w:pPr>
              <w:jc w:val="right"/>
              <w:rPr>
                <w:rFonts w:asciiTheme="majorHAnsi" w:hAnsiTheme="majorHAnsi"/>
              </w:rPr>
            </w:pPr>
            <w:r w:rsidRPr="002D49CE">
              <w:rPr>
                <w:rFonts w:asciiTheme="majorHAnsi" w:hAnsiTheme="majorHAnsi"/>
              </w:rPr>
              <w:t>3,45</w:t>
            </w:r>
          </w:p>
        </w:tc>
        <w:tc>
          <w:tcPr>
            <w:tcW w:w="1134" w:type="dxa"/>
            <w:gridSpan w:val="2"/>
            <w:shd w:val="clear" w:color="000000" w:fill="FFFFFF"/>
            <w:noWrap/>
            <w:vAlign w:val="bottom"/>
          </w:tcPr>
          <w:p w:rsidR="0085067C" w:rsidRPr="002D49CE" w:rsidRDefault="0085067C" w:rsidP="009C6CFC">
            <w:pPr>
              <w:jc w:val="right"/>
              <w:rPr>
                <w:rFonts w:asciiTheme="majorHAnsi" w:hAnsiTheme="majorHAnsi"/>
              </w:rPr>
            </w:pPr>
            <w:r w:rsidRPr="002D49CE">
              <w:rPr>
                <w:rFonts w:asciiTheme="majorHAnsi" w:hAnsiTheme="majorHAnsi"/>
              </w:rPr>
              <w:t>20,7%</w:t>
            </w:r>
          </w:p>
        </w:tc>
        <w:tc>
          <w:tcPr>
            <w:tcW w:w="1134" w:type="dxa"/>
            <w:shd w:val="clear" w:color="000000" w:fill="FFFFFF"/>
            <w:noWrap/>
            <w:vAlign w:val="bottom"/>
          </w:tcPr>
          <w:p w:rsidR="0085067C" w:rsidRPr="002D49CE" w:rsidRDefault="0085067C" w:rsidP="009C6CFC">
            <w:pPr>
              <w:jc w:val="right"/>
              <w:rPr>
                <w:rFonts w:asciiTheme="majorHAnsi" w:hAnsiTheme="majorHAnsi"/>
              </w:rPr>
            </w:pPr>
            <w:r w:rsidRPr="002D49CE">
              <w:rPr>
                <w:rFonts w:asciiTheme="majorHAnsi" w:hAnsiTheme="majorHAnsi"/>
              </w:rPr>
              <w:t xml:space="preserve">1.101 </w:t>
            </w:r>
          </w:p>
        </w:tc>
        <w:tc>
          <w:tcPr>
            <w:tcW w:w="993" w:type="dxa"/>
            <w:shd w:val="clear" w:color="000000" w:fill="FFFFFF"/>
            <w:noWrap/>
            <w:vAlign w:val="bottom"/>
          </w:tcPr>
          <w:p w:rsidR="0085067C" w:rsidRPr="002D49CE" w:rsidRDefault="0085067C" w:rsidP="009C6CFC">
            <w:pPr>
              <w:jc w:val="right"/>
              <w:rPr>
                <w:rFonts w:asciiTheme="majorHAnsi" w:hAnsiTheme="majorHAnsi"/>
              </w:rPr>
            </w:pPr>
            <w:r w:rsidRPr="002D49CE">
              <w:rPr>
                <w:rFonts w:asciiTheme="majorHAnsi" w:hAnsiTheme="majorHAnsi"/>
              </w:rPr>
              <w:t>30,7%</w:t>
            </w:r>
          </w:p>
        </w:tc>
      </w:tr>
      <w:tr w:rsidR="0085067C" w:rsidRPr="002D49CE" w:rsidTr="002D49CE">
        <w:trPr>
          <w:trHeight w:val="264"/>
        </w:trPr>
        <w:tc>
          <w:tcPr>
            <w:tcW w:w="498" w:type="dxa"/>
            <w:shd w:val="clear" w:color="000000" w:fill="FFFFFF"/>
            <w:noWrap/>
            <w:vAlign w:val="bottom"/>
          </w:tcPr>
          <w:p w:rsidR="0085067C" w:rsidRPr="002D49CE" w:rsidRDefault="0085067C" w:rsidP="009C6CFC">
            <w:pPr>
              <w:jc w:val="right"/>
              <w:rPr>
                <w:rFonts w:asciiTheme="majorHAnsi" w:hAnsiTheme="majorHAnsi"/>
                <w:b/>
              </w:rPr>
            </w:pPr>
          </w:p>
        </w:tc>
        <w:tc>
          <w:tcPr>
            <w:tcW w:w="3188" w:type="dxa"/>
            <w:shd w:val="clear" w:color="000000" w:fill="FFFFFF"/>
            <w:noWrap/>
            <w:vAlign w:val="bottom"/>
          </w:tcPr>
          <w:p w:rsidR="0085067C" w:rsidRPr="002D49CE" w:rsidRDefault="0085067C" w:rsidP="009C6CFC">
            <w:pPr>
              <w:rPr>
                <w:rFonts w:asciiTheme="majorHAnsi" w:hAnsiTheme="majorHAnsi"/>
                <w:b/>
              </w:rPr>
            </w:pPr>
            <w:r w:rsidRPr="002D49CE">
              <w:rPr>
                <w:rFonts w:asciiTheme="majorHAnsi" w:hAnsiTheme="majorHAnsi"/>
                <w:b/>
              </w:rPr>
              <w:t>TOTALE Sistema Arredobagno</w:t>
            </w:r>
          </w:p>
        </w:tc>
        <w:tc>
          <w:tcPr>
            <w:tcW w:w="1417" w:type="dxa"/>
            <w:shd w:val="clear" w:color="000000" w:fill="FFFFFF"/>
            <w:noWrap/>
            <w:vAlign w:val="center"/>
          </w:tcPr>
          <w:p w:rsidR="0085067C" w:rsidRPr="002D49CE" w:rsidRDefault="0085067C" w:rsidP="009C6CFC">
            <w:pPr>
              <w:jc w:val="right"/>
              <w:rPr>
                <w:rFonts w:asciiTheme="majorHAnsi" w:hAnsiTheme="majorHAnsi"/>
                <w:b/>
              </w:rPr>
            </w:pPr>
            <w:r w:rsidRPr="002D49CE">
              <w:rPr>
                <w:rFonts w:asciiTheme="majorHAnsi" w:hAnsiTheme="majorHAnsi"/>
                <w:b/>
              </w:rPr>
              <w:t xml:space="preserve">213,10 </w:t>
            </w:r>
          </w:p>
        </w:tc>
        <w:tc>
          <w:tcPr>
            <w:tcW w:w="1134" w:type="dxa"/>
            <w:gridSpan w:val="2"/>
            <w:shd w:val="clear" w:color="000000" w:fill="FFFFFF"/>
            <w:noWrap/>
            <w:vAlign w:val="center"/>
          </w:tcPr>
          <w:p w:rsidR="0085067C" w:rsidRPr="002D49CE" w:rsidRDefault="0085067C" w:rsidP="009C6CFC">
            <w:pPr>
              <w:jc w:val="right"/>
              <w:rPr>
                <w:rFonts w:asciiTheme="majorHAnsi" w:hAnsiTheme="majorHAnsi"/>
                <w:b/>
              </w:rPr>
            </w:pPr>
            <w:r w:rsidRPr="002D49CE">
              <w:rPr>
                <w:rFonts w:asciiTheme="majorHAnsi" w:hAnsiTheme="majorHAnsi"/>
                <w:b/>
              </w:rPr>
              <w:t>1,3%</w:t>
            </w:r>
          </w:p>
        </w:tc>
        <w:tc>
          <w:tcPr>
            <w:tcW w:w="1134" w:type="dxa"/>
            <w:shd w:val="clear" w:color="000000" w:fill="FFFFFF"/>
            <w:noWrap/>
            <w:vAlign w:val="center"/>
          </w:tcPr>
          <w:p w:rsidR="0085067C" w:rsidRPr="002D49CE" w:rsidRDefault="0085067C" w:rsidP="009C6CFC">
            <w:pPr>
              <w:jc w:val="right"/>
              <w:rPr>
                <w:rFonts w:asciiTheme="majorHAnsi" w:hAnsiTheme="majorHAnsi"/>
                <w:b/>
              </w:rPr>
            </w:pPr>
            <w:r w:rsidRPr="002D49CE">
              <w:rPr>
                <w:rFonts w:asciiTheme="majorHAnsi" w:hAnsiTheme="majorHAnsi"/>
                <w:b/>
              </w:rPr>
              <w:t xml:space="preserve">46.461 </w:t>
            </w:r>
          </w:p>
        </w:tc>
        <w:tc>
          <w:tcPr>
            <w:tcW w:w="993" w:type="dxa"/>
            <w:shd w:val="clear" w:color="000000" w:fill="FFFFFF"/>
            <w:noWrap/>
            <w:vAlign w:val="center"/>
          </w:tcPr>
          <w:p w:rsidR="0085067C" w:rsidRPr="002D49CE" w:rsidRDefault="0085067C" w:rsidP="009C6CFC">
            <w:pPr>
              <w:jc w:val="right"/>
              <w:rPr>
                <w:rFonts w:asciiTheme="majorHAnsi" w:hAnsiTheme="majorHAnsi"/>
                <w:b/>
              </w:rPr>
            </w:pPr>
            <w:r w:rsidRPr="002D49CE">
              <w:rPr>
                <w:rFonts w:asciiTheme="majorHAnsi" w:hAnsiTheme="majorHAnsi"/>
                <w:b/>
              </w:rPr>
              <w:t>-0,4%</w:t>
            </w:r>
          </w:p>
        </w:tc>
      </w:tr>
    </w:tbl>
    <w:p w:rsidR="0085067C" w:rsidRPr="002D49CE" w:rsidRDefault="0085067C" w:rsidP="0085067C">
      <w:pPr>
        <w:ind w:left="2268" w:right="134"/>
        <w:rPr>
          <w:rFonts w:asciiTheme="majorHAnsi" w:hAnsiTheme="majorHAnsi"/>
          <w:sz w:val="22"/>
          <w:szCs w:val="22"/>
        </w:rPr>
      </w:pPr>
      <w:r w:rsidRPr="002D49CE">
        <w:rPr>
          <w:rFonts w:asciiTheme="majorHAnsi" w:hAnsiTheme="majorHAnsi"/>
          <w:i/>
          <w:sz w:val="22"/>
          <w:szCs w:val="22"/>
        </w:rPr>
        <w:t xml:space="preserve">Fonte: elaborazioni Centro Studi </w:t>
      </w:r>
      <w:proofErr w:type="spellStart"/>
      <w:r w:rsidRPr="002D49CE">
        <w:rPr>
          <w:rFonts w:asciiTheme="majorHAnsi" w:hAnsiTheme="majorHAnsi"/>
          <w:i/>
          <w:sz w:val="22"/>
          <w:szCs w:val="22"/>
        </w:rPr>
        <w:t>Federlegno</w:t>
      </w:r>
      <w:proofErr w:type="spellEnd"/>
      <w:r w:rsidRPr="002D49CE">
        <w:rPr>
          <w:rFonts w:asciiTheme="majorHAnsi" w:hAnsiTheme="majorHAnsi"/>
          <w:i/>
          <w:sz w:val="22"/>
          <w:szCs w:val="22"/>
        </w:rPr>
        <w:t xml:space="preserve"> Arredo Eventi su dati Istat</w:t>
      </w:r>
    </w:p>
    <w:p w:rsidR="00BD53B9" w:rsidRDefault="00BD53B9" w:rsidP="00BD53B9">
      <w:pPr>
        <w:ind w:left="2268"/>
        <w:rPr>
          <w:rFonts w:asciiTheme="majorHAnsi" w:hAnsiTheme="majorHAnsi"/>
          <w:i/>
        </w:rPr>
      </w:pPr>
    </w:p>
    <w:p w:rsidR="00BD53B9" w:rsidRDefault="00BD53B9" w:rsidP="00BD53B9">
      <w:pPr>
        <w:ind w:left="2268"/>
        <w:rPr>
          <w:rFonts w:asciiTheme="majorHAnsi" w:hAnsiTheme="majorHAnsi"/>
          <w:i/>
        </w:rPr>
      </w:pPr>
    </w:p>
    <w:p w:rsidR="00BD53B9" w:rsidRPr="002D49CE" w:rsidRDefault="00BD53B9" w:rsidP="00BD53B9">
      <w:pPr>
        <w:ind w:left="2268"/>
        <w:rPr>
          <w:rFonts w:asciiTheme="majorHAnsi" w:hAnsiTheme="majorHAnsi"/>
        </w:rPr>
      </w:pPr>
      <w:r>
        <w:rPr>
          <w:rFonts w:asciiTheme="majorHAnsi" w:hAnsiTheme="majorHAnsi"/>
          <w:i/>
        </w:rPr>
        <w:t>Bologna, 22</w:t>
      </w:r>
      <w:r w:rsidRPr="002D49CE">
        <w:rPr>
          <w:rFonts w:asciiTheme="majorHAnsi" w:hAnsiTheme="majorHAnsi"/>
          <w:i/>
        </w:rPr>
        <w:t>settembre 2014</w:t>
      </w:r>
    </w:p>
    <w:p w:rsidR="0085067C" w:rsidRPr="002D49CE" w:rsidRDefault="0085067C" w:rsidP="00BD53B9">
      <w:pPr>
        <w:ind w:left="2268" w:right="134"/>
        <w:jc w:val="both"/>
        <w:rPr>
          <w:rFonts w:asciiTheme="majorHAnsi" w:hAnsiTheme="majorHAnsi"/>
        </w:rPr>
      </w:pPr>
    </w:p>
    <w:sectPr w:rsidR="0085067C" w:rsidRPr="002D49CE" w:rsidSect="00585EEE">
      <w:headerReference w:type="default" r:id="rId6"/>
      <w:footerReference w:type="default" r:id="rId7"/>
      <w:pgSz w:w="11900" w:h="16840"/>
      <w:pgMar w:top="3119" w:right="1134" w:bottom="3969" w:left="0" w:header="0" w:footer="6"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590E" w:rsidRDefault="0066590E" w:rsidP="00313C4C">
      <w:r>
        <w:separator/>
      </w:r>
    </w:p>
  </w:endnote>
  <w:endnote w:type="continuationSeparator" w:id="0">
    <w:p w:rsidR="0066590E" w:rsidRDefault="0066590E" w:rsidP="00313C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C4C" w:rsidRDefault="00FA7C81">
    <w:pPr>
      <w:pStyle w:val="Pidipagina"/>
    </w:pPr>
    <w:r>
      <w:rPr>
        <w:noProof/>
      </w:rPr>
      <w:drawing>
        <wp:inline distT="0" distB="0" distL="0" distR="0">
          <wp:extent cx="7556500" cy="2309204"/>
          <wp:effectExtent l="0" t="0" r="0" b="254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e _FLA_ASSOCIAZIONE.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556500" cy="2309204"/>
                  </a:xfrm>
                  <a:prstGeom prst="rect">
                    <a:avLst/>
                  </a:prstGeom>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590E" w:rsidRDefault="0066590E" w:rsidP="00313C4C">
      <w:r>
        <w:separator/>
      </w:r>
    </w:p>
  </w:footnote>
  <w:footnote w:type="continuationSeparator" w:id="0">
    <w:p w:rsidR="0066590E" w:rsidRDefault="0066590E" w:rsidP="00313C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C4C" w:rsidRDefault="00585EEE">
    <w:pPr>
      <w:pStyle w:val="Intestazione"/>
    </w:pPr>
    <w:r>
      <w:rPr>
        <w:noProof/>
      </w:rPr>
      <w:drawing>
        <wp:inline distT="0" distB="0" distL="0" distR="0">
          <wp:extent cx="7545887" cy="23368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A_ASS_testa.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545887" cy="2336800"/>
                  </a:xfrm>
                  <a:prstGeom prst="rect">
                    <a:avLst/>
                  </a:prstGeom>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embedSystemFonts/>
  <w:proofState w:spelling="clean"/>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useFELayout/>
  </w:compat>
  <w:rsids>
    <w:rsidRoot w:val="00313C4C"/>
    <w:rsid w:val="000F1C33"/>
    <w:rsid w:val="001E6E8A"/>
    <w:rsid w:val="00254956"/>
    <w:rsid w:val="002D49CE"/>
    <w:rsid w:val="00313C4C"/>
    <w:rsid w:val="003C5A76"/>
    <w:rsid w:val="00431D61"/>
    <w:rsid w:val="00585EEE"/>
    <w:rsid w:val="005A3F0D"/>
    <w:rsid w:val="0066590E"/>
    <w:rsid w:val="00683CF9"/>
    <w:rsid w:val="006D528A"/>
    <w:rsid w:val="0085067C"/>
    <w:rsid w:val="0089782E"/>
    <w:rsid w:val="00900AA5"/>
    <w:rsid w:val="009B2985"/>
    <w:rsid w:val="00AE014D"/>
    <w:rsid w:val="00BD53B9"/>
    <w:rsid w:val="00C510AA"/>
    <w:rsid w:val="00C55F9A"/>
    <w:rsid w:val="00DD3CB8"/>
    <w:rsid w:val="00F05378"/>
    <w:rsid w:val="00FA7C8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it-IT"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F1C33"/>
    <w:rPr>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13C4C"/>
    <w:pPr>
      <w:tabs>
        <w:tab w:val="center" w:pos="4819"/>
        <w:tab w:val="right" w:pos="9638"/>
      </w:tabs>
    </w:pPr>
  </w:style>
  <w:style w:type="character" w:customStyle="1" w:styleId="IntestazioneCarattere">
    <w:name w:val="Intestazione Carattere"/>
    <w:basedOn w:val="Carpredefinitoparagrafo"/>
    <w:link w:val="Intestazione"/>
    <w:uiPriority w:val="99"/>
    <w:rsid w:val="00313C4C"/>
    <w:rPr>
      <w:sz w:val="24"/>
      <w:szCs w:val="24"/>
      <w:lang w:eastAsia="it-IT"/>
    </w:rPr>
  </w:style>
  <w:style w:type="paragraph" w:styleId="Pidipagina">
    <w:name w:val="footer"/>
    <w:basedOn w:val="Normale"/>
    <w:link w:val="PidipaginaCarattere"/>
    <w:uiPriority w:val="99"/>
    <w:unhideWhenUsed/>
    <w:rsid w:val="00313C4C"/>
    <w:pPr>
      <w:tabs>
        <w:tab w:val="center" w:pos="4819"/>
        <w:tab w:val="right" w:pos="9638"/>
      </w:tabs>
    </w:pPr>
  </w:style>
  <w:style w:type="character" w:customStyle="1" w:styleId="PidipaginaCarattere">
    <w:name w:val="Piè di pagina Carattere"/>
    <w:basedOn w:val="Carpredefinitoparagrafo"/>
    <w:link w:val="Pidipagina"/>
    <w:uiPriority w:val="99"/>
    <w:rsid w:val="00313C4C"/>
    <w:rPr>
      <w:sz w:val="24"/>
      <w:szCs w:val="24"/>
      <w:lang w:eastAsia="it-IT"/>
    </w:rPr>
  </w:style>
  <w:style w:type="paragraph" w:styleId="Testofumetto">
    <w:name w:val="Balloon Text"/>
    <w:basedOn w:val="Normale"/>
    <w:link w:val="TestofumettoCarattere"/>
    <w:uiPriority w:val="99"/>
    <w:semiHidden/>
    <w:unhideWhenUsed/>
    <w:rsid w:val="00313C4C"/>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13C4C"/>
    <w:rPr>
      <w:rFonts w:ascii="Lucida Grande" w:hAnsi="Lucida Grande" w:cs="Lucida Grande"/>
      <w:sz w:val="18"/>
      <w:szCs w:val="18"/>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it-IT"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13C4C"/>
    <w:pPr>
      <w:tabs>
        <w:tab w:val="center" w:pos="4819"/>
        <w:tab w:val="right" w:pos="9638"/>
      </w:tabs>
    </w:pPr>
  </w:style>
  <w:style w:type="character" w:customStyle="1" w:styleId="IntestazioneCarattere">
    <w:name w:val="Intestazione Carattere"/>
    <w:basedOn w:val="Carpredefinitoparagrafo"/>
    <w:link w:val="Intestazione"/>
    <w:uiPriority w:val="99"/>
    <w:rsid w:val="00313C4C"/>
    <w:rPr>
      <w:sz w:val="24"/>
      <w:szCs w:val="24"/>
      <w:lang w:eastAsia="it-IT"/>
    </w:rPr>
  </w:style>
  <w:style w:type="paragraph" w:styleId="Pidipagina">
    <w:name w:val="footer"/>
    <w:basedOn w:val="Normale"/>
    <w:link w:val="PidipaginaCarattere"/>
    <w:uiPriority w:val="99"/>
    <w:unhideWhenUsed/>
    <w:rsid w:val="00313C4C"/>
    <w:pPr>
      <w:tabs>
        <w:tab w:val="center" w:pos="4819"/>
        <w:tab w:val="right" w:pos="9638"/>
      </w:tabs>
    </w:pPr>
  </w:style>
  <w:style w:type="character" w:customStyle="1" w:styleId="PidipaginaCarattere">
    <w:name w:val="Piè di pagina Carattere"/>
    <w:basedOn w:val="Carpredefinitoparagrafo"/>
    <w:link w:val="Pidipagina"/>
    <w:uiPriority w:val="99"/>
    <w:rsid w:val="00313C4C"/>
    <w:rPr>
      <w:sz w:val="24"/>
      <w:szCs w:val="24"/>
      <w:lang w:eastAsia="it-IT"/>
    </w:rPr>
  </w:style>
  <w:style w:type="paragraph" w:styleId="Testofumetto">
    <w:name w:val="Balloon Text"/>
    <w:basedOn w:val="Normale"/>
    <w:link w:val="TestofumettoCarattere"/>
    <w:uiPriority w:val="99"/>
    <w:semiHidden/>
    <w:unhideWhenUsed/>
    <w:rsid w:val="00313C4C"/>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13C4C"/>
    <w:rPr>
      <w:rFonts w:ascii="Lucida Grande" w:hAnsi="Lucida Grande" w:cs="Lucida Grande"/>
      <w:sz w:val="18"/>
      <w:szCs w:val="18"/>
      <w:lang w:eastAsia="it-IT"/>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417</Words>
  <Characters>2429</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2841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Mara Timpano</dc:creator>
  <cp:lastModifiedBy>press.assobagno</cp:lastModifiedBy>
  <cp:revision>7</cp:revision>
  <dcterms:created xsi:type="dcterms:W3CDTF">2014-09-18T10:26:00Z</dcterms:created>
  <dcterms:modified xsi:type="dcterms:W3CDTF">2014-09-19T14:01:00Z</dcterms:modified>
</cp:coreProperties>
</file>