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BD3D4" w14:textId="30A66506" w:rsidR="00745B5A" w:rsidRDefault="00745B5A" w:rsidP="00745B5A">
      <w:pPr>
        <w:jc w:val="center"/>
        <w:rPr>
          <w:rFonts w:ascii="Times New Roman" w:hAnsi="Times New Roman" w:cs="Times New Roman"/>
          <w:b/>
          <w:bCs/>
        </w:rPr>
      </w:pPr>
    </w:p>
    <w:p w14:paraId="268E49A3" w14:textId="77777777" w:rsidR="00B90C56" w:rsidRDefault="00B90C56" w:rsidP="00B90C56">
      <w:pPr>
        <w:pStyle w:val="Titolo1"/>
        <w:spacing w:before="0" w:after="0"/>
        <w:jc w:val="center"/>
        <w:rPr>
          <w:rFonts w:ascii="Times New Roman" w:hAnsi="Times New Roman" w:cs="Times New Roman"/>
          <w:b/>
          <w:bCs/>
          <w:color w:val="000000"/>
          <w:sz w:val="32"/>
          <w:szCs w:val="32"/>
        </w:rPr>
      </w:pPr>
    </w:p>
    <w:p w14:paraId="6BF730D2" w14:textId="42E35706" w:rsidR="00B90C56" w:rsidRPr="00B90C56" w:rsidRDefault="00B90C56" w:rsidP="00B90C56">
      <w:pPr>
        <w:pStyle w:val="Titolo1"/>
        <w:spacing w:before="0" w:after="0"/>
        <w:jc w:val="center"/>
        <w:rPr>
          <w:rFonts w:ascii="Times New Roman" w:hAnsi="Times New Roman" w:cs="Times New Roman"/>
          <w:b/>
          <w:bCs/>
          <w:sz w:val="32"/>
          <w:szCs w:val="32"/>
        </w:rPr>
      </w:pPr>
      <w:r w:rsidRPr="00B90C56">
        <w:rPr>
          <w:rFonts w:ascii="Times New Roman" w:hAnsi="Times New Roman" w:cs="Times New Roman"/>
          <w:b/>
          <w:bCs/>
          <w:color w:val="000000"/>
          <w:sz w:val="32"/>
          <w:szCs w:val="32"/>
        </w:rPr>
        <w:t>MANUALE DELLA FORMAZIONE CONTINUA APIL</w:t>
      </w:r>
    </w:p>
    <w:p w14:paraId="0518D850" w14:textId="77777777" w:rsidR="00B90C56" w:rsidRPr="00B90C56" w:rsidRDefault="00B90C56" w:rsidP="00B90C56">
      <w:pPr>
        <w:pStyle w:val="Titolo2"/>
        <w:spacing w:before="0" w:after="0"/>
        <w:jc w:val="center"/>
        <w:rPr>
          <w:rFonts w:ascii="Times New Roman" w:hAnsi="Times New Roman" w:cs="Times New Roman"/>
          <w:sz w:val="24"/>
          <w:szCs w:val="24"/>
        </w:rPr>
      </w:pPr>
      <w:r w:rsidRPr="00B90C56">
        <w:rPr>
          <w:rFonts w:ascii="Times New Roman" w:hAnsi="Times New Roman" w:cs="Times New Roman"/>
          <w:color w:val="000000"/>
          <w:sz w:val="24"/>
          <w:szCs w:val="24"/>
        </w:rPr>
        <w:t>APIL – ASSOCIAZIONE PROFESSIONISTI DELL'ILLUMINAZIONE</w:t>
      </w:r>
    </w:p>
    <w:p w14:paraId="252F1775" w14:textId="77777777" w:rsidR="00B90C56" w:rsidRDefault="00B90C56" w:rsidP="00B90C56">
      <w:pPr>
        <w:pStyle w:val="Titolo3"/>
        <w:spacing w:before="0" w:after="0"/>
        <w:jc w:val="center"/>
        <w:rPr>
          <w:rFonts w:ascii="Times New Roman" w:hAnsi="Times New Roman" w:cs="Times New Roman"/>
          <w:color w:val="000000"/>
          <w:sz w:val="24"/>
          <w:szCs w:val="24"/>
        </w:rPr>
      </w:pPr>
      <w:r w:rsidRPr="00B90C56">
        <w:rPr>
          <w:rFonts w:ascii="Times New Roman" w:hAnsi="Times New Roman" w:cs="Times New Roman"/>
          <w:color w:val="000000"/>
          <w:sz w:val="24"/>
          <w:szCs w:val="24"/>
        </w:rPr>
        <w:t>ai sensi della Legge 14 gennaio 2013, n. 4</w:t>
      </w:r>
    </w:p>
    <w:p w14:paraId="7CFA4D20" w14:textId="77777777" w:rsidR="00B90C56" w:rsidRDefault="00B90C56" w:rsidP="00B90C56"/>
    <w:p w14:paraId="4B50AFD1" w14:textId="77777777" w:rsidR="00B90C56" w:rsidRPr="00B90C56" w:rsidRDefault="00B90C56" w:rsidP="00B90C56"/>
    <w:p w14:paraId="3A88732C" w14:textId="77777777" w:rsidR="00B90C56" w:rsidRDefault="00B90C56" w:rsidP="00B90C56">
      <w:pPr>
        <w:jc w:val="both"/>
        <w:rPr>
          <w:rFonts w:ascii="Times New Roman" w:hAnsi="Times New Roman" w:cs="Times New Roman"/>
        </w:rPr>
      </w:pPr>
    </w:p>
    <w:p w14:paraId="1308F42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presente Manuale costituisce attuazione degli artt. 25 e 26 dello Statuto APIL e degli artt. 9, 10, 11 e 12 del Regolamento Professionale APIL, cui integralmente si rinvia per i principi generali e la disciplina di rango superiore.</w:t>
      </w:r>
    </w:p>
    <w:p w14:paraId="598B6810"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Il Manuale è pubblicato sul sito web associativo ai fini della piena conoscibilità da parte dell'utenza, in conformità agli artt. 4 e 5 della Legge 14 gennaio 2013, n. 4, e alle Linee Guida del Ministero delle Imprese e del Made in </w:t>
      </w:r>
      <w:proofErr w:type="spellStart"/>
      <w:r w:rsidRPr="00B90C56">
        <w:rPr>
          <w:rFonts w:ascii="Times New Roman" w:hAnsi="Times New Roman" w:cs="Times New Roman"/>
        </w:rPr>
        <w:t>Italy</w:t>
      </w:r>
      <w:proofErr w:type="spellEnd"/>
      <w:r w:rsidRPr="00B90C56">
        <w:rPr>
          <w:rFonts w:ascii="Times New Roman" w:hAnsi="Times New Roman" w:cs="Times New Roman"/>
        </w:rPr>
        <w:t xml:space="preserve"> di cui alla Circolare Direttoriale del 18 dicembre 2025.</w:t>
      </w:r>
    </w:p>
    <w:p w14:paraId="5478D7E6" w14:textId="77777777" w:rsidR="00B90C56" w:rsidRDefault="00B90C56" w:rsidP="00B90C56">
      <w:pPr>
        <w:pStyle w:val="Titolo2"/>
        <w:spacing w:before="0" w:after="0"/>
        <w:jc w:val="both"/>
        <w:rPr>
          <w:rFonts w:ascii="Times New Roman" w:hAnsi="Times New Roman" w:cs="Times New Roman"/>
          <w:color w:val="000000"/>
          <w:sz w:val="24"/>
          <w:szCs w:val="24"/>
        </w:rPr>
      </w:pPr>
    </w:p>
    <w:p w14:paraId="64DBB59C" w14:textId="77777777" w:rsidR="00B90C56" w:rsidRDefault="00B90C56" w:rsidP="00B90C56">
      <w:pPr>
        <w:pStyle w:val="Titolo2"/>
        <w:spacing w:before="0" w:after="0"/>
        <w:jc w:val="both"/>
        <w:rPr>
          <w:rFonts w:ascii="Times New Roman" w:hAnsi="Times New Roman" w:cs="Times New Roman"/>
          <w:color w:val="000000"/>
          <w:sz w:val="24"/>
          <w:szCs w:val="24"/>
        </w:rPr>
      </w:pPr>
    </w:p>
    <w:p w14:paraId="54241D3B" w14:textId="52716FD2"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PRIMA – DISPOSIZIONI GENERALI</w:t>
      </w:r>
    </w:p>
    <w:p w14:paraId="08823E19"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 Premessa e finalità</w:t>
      </w:r>
    </w:p>
    <w:p w14:paraId="0794FA82"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APIL – Associazione Professionisti dell'Illuminazione – riconosce la formazione continua quale elemento essenziale per il mantenimento e lo sviluppo delle competenze professionali dei propri Soci Professionisti, in attuazione dell'art. 2, comma 2, della Legge 14 gennaio 2013, n. 4, che impone alle associazioni professionali di promuovere la formazione permanente dei propri iscritti e di dotarsi di una struttura organizzativa e tecnico-scientifica adeguata all'effettivo raggiungimento delle finalità associative.</w:t>
      </w:r>
    </w:p>
    <w:p w14:paraId="55EF7AD1" w14:textId="77777777" w:rsidR="00B90C56" w:rsidRDefault="00B90C56" w:rsidP="00B90C56">
      <w:pPr>
        <w:jc w:val="both"/>
        <w:rPr>
          <w:rFonts w:ascii="Times New Roman" w:hAnsi="Times New Roman" w:cs="Times New Roman"/>
        </w:rPr>
      </w:pPr>
    </w:p>
    <w:p w14:paraId="795B1441" w14:textId="634129DA"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formazione continua costituisce:</w:t>
      </w:r>
    </w:p>
    <w:p w14:paraId="3625094F"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obbligo giuridico e deontologico per tutti i Soci Professionisti, ai sensi dell'art. 9, comma 2, lett. a), dello Statuto;</w:t>
      </w:r>
    </w:p>
    <w:p w14:paraId="45E2F3BD"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condizione per il mantenimento della qualifica di Socio Professionista, ai sensi dell'art. 9, comma 3, dello Statuto;</w:t>
      </w:r>
    </w:p>
    <w:p w14:paraId="2EAD83E9"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requisito per il rilascio e la conservazione dell'Attestazione di Qualità e Qualificazione Professionale dei servizi prestati, ai sensi dell'art. 29 dello Statuto e dell'art. 7, comma 1, lett. a), della Legge 4/2013.</w:t>
      </w:r>
    </w:p>
    <w:p w14:paraId="51AA4AD9"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formazione professionale permanente si caratterizza per i seguenti aspetti:</w:t>
      </w:r>
    </w:p>
    <w:p w14:paraId="0D06526F"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è attività obbligatoria di aggiornamento, approfondimento e sviluppo delle conoscenze e delle competenze tecniche sulle materie oggetto di esercizio dell'attività professionale di progettista della luce. Non sostituisce, ma completa lo studio e l'approfondimento individuale;</w:t>
      </w:r>
    </w:p>
    <w:p w14:paraId="46951982"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costituisce uno dei presupposti per la correttezza e la qualità della prestazione professionale;</w:t>
      </w:r>
    </w:p>
    <w:p w14:paraId="61005802" w14:textId="77777777" w:rsidR="00B90C56" w:rsidRDefault="00B90C56" w:rsidP="00B90C56">
      <w:pPr>
        <w:jc w:val="both"/>
        <w:rPr>
          <w:rFonts w:ascii="Times New Roman" w:hAnsi="Times New Roman" w:cs="Times New Roman"/>
        </w:rPr>
      </w:pPr>
      <w:r w:rsidRPr="00B90C56">
        <w:rPr>
          <w:rFonts w:ascii="Times New Roman" w:hAnsi="Times New Roman" w:cs="Times New Roman"/>
        </w:rPr>
        <w:t>c) è svolta nell'interesse dei destinatari della prestazione professionale e a garanzia dell'adempimento di prassi corrette tra professionisti e fruitori della prestazione, fondata sull'indipendenza di giudizio, su solide basi conoscitive e sul rispetto dei principi di buona fede e responsabilità del professionista.</w:t>
      </w:r>
    </w:p>
    <w:p w14:paraId="1B586694" w14:textId="77777777" w:rsidR="00110705" w:rsidRDefault="00110705" w:rsidP="00B90C56">
      <w:pPr>
        <w:jc w:val="both"/>
        <w:rPr>
          <w:rFonts w:ascii="Times New Roman" w:hAnsi="Times New Roman" w:cs="Times New Roman"/>
        </w:rPr>
      </w:pPr>
    </w:p>
    <w:p w14:paraId="7B875C0D" w14:textId="77777777" w:rsidR="00110705" w:rsidRPr="00B90C56" w:rsidRDefault="00110705" w:rsidP="00B90C56">
      <w:pPr>
        <w:jc w:val="both"/>
        <w:rPr>
          <w:rFonts w:ascii="Times New Roman" w:hAnsi="Times New Roman" w:cs="Times New Roman"/>
        </w:rPr>
      </w:pPr>
    </w:p>
    <w:p w14:paraId="653D1F03"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lastRenderedPageBreak/>
        <w:t>2. Ambito di applicazione</w:t>
      </w:r>
    </w:p>
    <w:p w14:paraId="74DBB192"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presente Manuale si applica ai Soci Professionisti appartenenti alle seguenti categorie di cui all'art. 6, comma 2, dello Statuto:</w:t>
      </w:r>
    </w:p>
    <w:p w14:paraId="2B38151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Soci Professionisti (lettera a);</w:t>
      </w:r>
    </w:p>
    <w:p w14:paraId="218CFDB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Soci Professionisti Under 40 (lettera b);</w:t>
      </w:r>
    </w:p>
    <w:p w14:paraId="38EE862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Soci Professionisti Collaboratori alla Progettazione (lettera c).</w:t>
      </w:r>
    </w:p>
    <w:p w14:paraId="319DB89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Sono esclusi dall'ambito di applicazione del presente Manuale:</w:t>
      </w:r>
    </w:p>
    <w:p w14:paraId="0ABEA58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Sostenitori;</w:t>
      </w:r>
    </w:p>
    <w:p w14:paraId="4EE1533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Sostenitori Tecnici;</w:t>
      </w:r>
    </w:p>
    <w:p w14:paraId="3541FB4F"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Studenti;</w:t>
      </w:r>
    </w:p>
    <w:p w14:paraId="3F52E47C"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d) Soci Onorari.</w:t>
      </w:r>
    </w:p>
    <w:p w14:paraId="576B1A73" w14:textId="77777777" w:rsidR="00B90C56" w:rsidRDefault="00B90C56" w:rsidP="00B90C56">
      <w:pPr>
        <w:pStyle w:val="Titolo3"/>
        <w:spacing w:before="0" w:after="0"/>
        <w:jc w:val="both"/>
        <w:rPr>
          <w:rFonts w:ascii="Times New Roman" w:hAnsi="Times New Roman" w:cs="Times New Roman"/>
          <w:color w:val="000000"/>
          <w:sz w:val="24"/>
          <w:szCs w:val="24"/>
        </w:rPr>
      </w:pPr>
    </w:p>
    <w:p w14:paraId="6A143A44" w14:textId="5F478FF9"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3. Rinvio allo Statuto e al Regolamento Professionale</w:t>
      </w:r>
    </w:p>
    <w:p w14:paraId="250C3F0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Per quanto non espressamente disciplinato dal presente Manuale, si applicano:</w:t>
      </w:r>
    </w:p>
    <w:p w14:paraId="61DA16AD"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lo Statuto APIL, con particolare riferimento agli artt. 25 e 26 (Commissione tecnico-scientifica), art. 7 (requisiti di ammissione), art. 9 (doveri degli associati), art. 29 (Attestazione);</w:t>
      </w:r>
    </w:p>
    <w:p w14:paraId="06A4DAB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il Regolamento Professionale APIL, con particolare riferimento al Titolo IV (artt. 9-12);</w:t>
      </w:r>
    </w:p>
    <w:p w14:paraId="7D677F96"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il Codice Deontologico e di Condotta APIL, con particolare riferimento all'art. 4 (professionalità e competenza) e all'art. 19, comma 1, lett. b) (sospensione per violazione obblighi formativi).</w:t>
      </w:r>
    </w:p>
    <w:p w14:paraId="5572E3C8" w14:textId="77777777" w:rsidR="00B90C56" w:rsidRDefault="00B90C56" w:rsidP="00B90C56">
      <w:pPr>
        <w:pStyle w:val="Titolo2"/>
        <w:spacing w:before="0" w:after="0"/>
        <w:jc w:val="both"/>
        <w:rPr>
          <w:rFonts w:ascii="Times New Roman" w:hAnsi="Times New Roman" w:cs="Times New Roman"/>
          <w:color w:val="000000"/>
          <w:sz w:val="24"/>
          <w:szCs w:val="24"/>
        </w:rPr>
      </w:pPr>
    </w:p>
    <w:p w14:paraId="1E00D824" w14:textId="77777777" w:rsidR="00B90C56" w:rsidRDefault="00B90C56" w:rsidP="00B90C56">
      <w:pPr>
        <w:pStyle w:val="Titolo2"/>
        <w:spacing w:before="0" w:after="0"/>
        <w:jc w:val="both"/>
        <w:rPr>
          <w:rFonts w:ascii="Times New Roman" w:hAnsi="Times New Roman" w:cs="Times New Roman"/>
          <w:b/>
          <w:bCs/>
          <w:color w:val="000000"/>
          <w:sz w:val="24"/>
          <w:szCs w:val="24"/>
        </w:rPr>
      </w:pPr>
    </w:p>
    <w:p w14:paraId="069686EC" w14:textId="33995FE6"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SECONDA – IL SISTEMA DEI CREDITI FORMATIVI PROFESSIONALI</w:t>
      </w:r>
    </w:p>
    <w:p w14:paraId="57C2AEBA" w14:textId="72784660"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4. Crediti Formativi Professionali APIL (CFP-APIL)</w:t>
      </w:r>
    </w:p>
    <w:p w14:paraId="62B5E8BD"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Credito Formativo Professionale APIL (CFP-APIL) è l'unità di misura dell'attività di aggiornamento professionale ed esprime l'impegno richiesto al Socio Professionista per l'assolvimento dell'obbligo di formazione continua.</w:t>
      </w:r>
    </w:p>
    <w:p w14:paraId="77AE8C5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In linea generale, 1 (una) ora di attività formativa effettiva corrisponde a 1 (un) CFP-APIL.</w:t>
      </w:r>
    </w:p>
    <w:p w14:paraId="7E4A3B0B"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Commissione tecnico-scientifica (CTS) può attribuire valori differenti alle attività formative sulla base della complessità, dell'impegno richiesto, della rilevanza professionale e del contributo attivo del partecipante, secondo i criteri indicati nella Tabella delle attività riconosciute (Appendice B).</w:t>
      </w:r>
    </w:p>
    <w:p w14:paraId="4080FEAB" w14:textId="77777777" w:rsidR="00B90C56" w:rsidRDefault="00B90C56" w:rsidP="00B90C56">
      <w:pPr>
        <w:pStyle w:val="Titolo3"/>
        <w:spacing w:before="0" w:after="0"/>
        <w:jc w:val="both"/>
        <w:rPr>
          <w:rFonts w:ascii="Times New Roman" w:hAnsi="Times New Roman" w:cs="Times New Roman"/>
          <w:color w:val="000000"/>
          <w:sz w:val="24"/>
          <w:szCs w:val="24"/>
        </w:rPr>
      </w:pPr>
    </w:p>
    <w:p w14:paraId="00C80E9C" w14:textId="6B83F5FE"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5. Periodo formativo e obbligo formativo minimo</w:t>
      </w:r>
    </w:p>
    <w:p w14:paraId="15E522A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periodo di formazione professionale continua è su base annuale, con decorrenza dal 1° gennaio al 31 dicembre di ciascun anno.</w:t>
      </w:r>
    </w:p>
    <w:p w14:paraId="126F526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Ciascun Socio Professionista è tenuto a maturare un minimo di </w:t>
      </w:r>
      <w:r w:rsidRPr="00B90C56">
        <w:rPr>
          <w:rFonts w:ascii="Times New Roman" w:hAnsi="Times New Roman" w:cs="Times New Roman"/>
          <w:b/>
        </w:rPr>
        <w:t>10 (dieci) CFP-APIL per anno solare</w:t>
      </w:r>
      <w:r w:rsidRPr="00B90C56">
        <w:rPr>
          <w:rFonts w:ascii="Times New Roman" w:hAnsi="Times New Roman" w:cs="Times New Roman"/>
        </w:rPr>
        <w:t>.</w:t>
      </w:r>
    </w:p>
    <w:p w14:paraId="53B9612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 crediti possono essere acquisiti mediante:</w:t>
      </w:r>
    </w:p>
    <w:p w14:paraId="09D0A63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attività formative organizzate direttamente da APIL;</w:t>
      </w:r>
    </w:p>
    <w:p w14:paraId="24855F0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attività formative organizzate da soggetti terzi e riconosciute idonee dalla CTS;</w:t>
      </w:r>
    </w:p>
    <w:p w14:paraId="2B9A66BB"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altre attività professionali riconosciute dalla CTS ai sensi del successivo art. 7.</w:t>
      </w:r>
    </w:p>
    <w:p w14:paraId="5D63E4B4"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L'Associazione garantisce all'associato l'opportunità di aggiornarsi anche presso strutture esterne, la cui idoneità è valutata dalla CTS, in conformità a quanto previsto dall'art. 11, comma 3, del Regolamento Professionale e dalle Linee Guida MIMIT.</w:t>
      </w:r>
    </w:p>
    <w:p w14:paraId="120E851C" w14:textId="77777777" w:rsidR="00B90C56" w:rsidRDefault="00B90C56" w:rsidP="00B90C56">
      <w:pPr>
        <w:jc w:val="both"/>
        <w:rPr>
          <w:rFonts w:ascii="Times New Roman" w:hAnsi="Times New Roman" w:cs="Times New Roman"/>
        </w:rPr>
      </w:pPr>
      <w:r w:rsidRPr="00B90C56">
        <w:rPr>
          <w:rFonts w:ascii="Times New Roman" w:hAnsi="Times New Roman" w:cs="Times New Roman"/>
        </w:rPr>
        <w:t xml:space="preserve">I CFP maturati in eccedenza rispetto al minimo annuale di 10 (dieci) non possono essere riportati </w:t>
      </w:r>
    </w:p>
    <w:p w14:paraId="14487FAF" w14:textId="77777777" w:rsidR="00B90C56" w:rsidRDefault="00B90C56" w:rsidP="00B90C56">
      <w:pPr>
        <w:jc w:val="both"/>
        <w:rPr>
          <w:rFonts w:ascii="Times New Roman" w:hAnsi="Times New Roman" w:cs="Times New Roman"/>
        </w:rPr>
      </w:pPr>
    </w:p>
    <w:p w14:paraId="75AA7663" w14:textId="77777777" w:rsidR="00B90C56" w:rsidRDefault="00B90C56" w:rsidP="00B90C56">
      <w:pPr>
        <w:jc w:val="both"/>
        <w:rPr>
          <w:rFonts w:ascii="Times New Roman" w:hAnsi="Times New Roman" w:cs="Times New Roman"/>
        </w:rPr>
      </w:pPr>
    </w:p>
    <w:p w14:paraId="5C49C640" w14:textId="74F3628A" w:rsidR="00B90C56" w:rsidRPr="00B90C56" w:rsidRDefault="00B90C56" w:rsidP="00B90C56">
      <w:pPr>
        <w:jc w:val="both"/>
        <w:rPr>
          <w:rFonts w:ascii="Times New Roman" w:hAnsi="Times New Roman" w:cs="Times New Roman"/>
        </w:rPr>
      </w:pPr>
      <w:r w:rsidRPr="00B90C56">
        <w:rPr>
          <w:rFonts w:ascii="Times New Roman" w:hAnsi="Times New Roman" w:cs="Times New Roman"/>
        </w:rPr>
        <w:lastRenderedPageBreak/>
        <w:t xml:space="preserve">all'annualità </w:t>
      </w:r>
      <w:r w:rsidR="001B7112" w:rsidRPr="00B90C56">
        <w:rPr>
          <w:rFonts w:ascii="Times New Roman" w:hAnsi="Times New Roman" w:cs="Times New Roman"/>
        </w:rPr>
        <w:t>successiva.</w:t>
      </w:r>
    </w:p>
    <w:p w14:paraId="15475E9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Per i nuovi iscritti, l'obbligo formativo decorre dal 1° gennaio dell'anno successivo a quello di iscrizione. Per l'anno di prima iscrizione, il nuovo Socio Professionista è comunque incoraggiato a partecipare alle attività formative APIL. Tale previsione non si applica in caso di cancellazione e successiva reiscrizione.</w:t>
      </w:r>
    </w:p>
    <w:p w14:paraId="5C4A62F8" w14:textId="77777777" w:rsidR="00B90C56" w:rsidRDefault="00B90C56" w:rsidP="00B90C56">
      <w:pPr>
        <w:pStyle w:val="Titolo3"/>
        <w:spacing w:before="0" w:after="0"/>
        <w:jc w:val="both"/>
        <w:rPr>
          <w:rFonts w:ascii="Times New Roman" w:hAnsi="Times New Roman" w:cs="Times New Roman"/>
          <w:color w:val="000000"/>
          <w:sz w:val="24"/>
          <w:szCs w:val="24"/>
        </w:rPr>
      </w:pPr>
    </w:p>
    <w:p w14:paraId="6E03A7EE" w14:textId="278CB6B7" w:rsidR="00B90C56" w:rsidRPr="001B7112" w:rsidRDefault="00B90C56" w:rsidP="00B90C56">
      <w:pPr>
        <w:pStyle w:val="Titolo3"/>
        <w:spacing w:before="0" w:after="0"/>
        <w:jc w:val="both"/>
        <w:rPr>
          <w:rFonts w:ascii="Times New Roman" w:hAnsi="Times New Roman" w:cs="Times New Roman"/>
          <w:b/>
          <w:bCs/>
          <w:sz w:val="24"/>
          <w:szCs w:val="24"/>
        </w:rPr>
      </w:pPr>
      <w:r w:rsidRPr="001B7112">
        <w:rPr>
          <w:rFonts w:ascii="Times New Roman" w:hAnsi="Times New Roman" w:cs="Times New Roman"/>
          <w:b/>
          <w:bCs/>
          <w:color w:val="000000"/>
          <w:sz w:val="24"/>
          <w:szCs w:val="24"/>
        </w:rPr>
        <w:t>6. Obbligo formativo per l'Attestazione</w:t>
      </w:r>
    </w:p>
    <w:p w14:paraId="1D4E4BB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L'assolvimento degli obblighi formativi annuali costituisce condizione necessaria per il rilascio e il mantenimento dell'Attestazione di Qualità e Qualificazione Professionale.</w:t>
      </w:r>
    </w:p>
    <w:p w14:paraId="5FBADDC7"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L'Attestazione non costituisce una categoria associativa distinta né comporta obblighi formativi ulteriori rispetto a quelli previsti per i Soci Professionisti. Essa è il documento che comprova la qualifica di Socio Professionista in regola con tutti gli obblighi associativi, ivi compreso l'aggiornamento professionale.</w:t>
      </w:r>
    </w:p>
    <w:p w14:paraId="6A886939" w14:textId="77777777" w:rsidR="00B90C56" w:rsidRDefault="00B90C56" w:rsidP="00B90C56">
      <w:pPr>
        <w:pStyle w:val="Titolo2"/>
        <w:spacing w:before="0" w:after="0"/>
        <w:jc w:val="both"/>
        <w:rPr>
          <w:rFonts w:ascii="Times New Roman" w:hAnsi="Times New Roman" w:cs="Times New Roman"/>
          <w:color w:val="000000"/>
          <w:sz w:val="24"/>
          <w:szCs w:val="24"/>
        </w:rPr>
      </w:pPr>
    </w:p>
    <w:p w14:paraId="535E0F00" w14:textId="77777777" w:rsidR="00B90C56" w:rsidRPr="00B90C56" w:rsidRDefault="00B90C56" w:rsidP="00B90C56">
      <w:pPr>
        <w:pStyle w:val="Titolo2"/>
        <w:spacing w:before="0" w:after="0"/>
        <w:jc w:val="both"/>
        <w:rPr>
          <w:rFonts w:ascii="Times New Roman" w:hAnsi="Times New Roman" w:cs="Times New Roman"/>
          <w:b/>
          <w:bCs/>
          <w:color w:val="000000"/>
          <w:sz w:val="24"/>
          <w:szCs w:val="24"/>
        </w:rPr>
      </w:pPr>
    </w:p>
    <w:p w14:paraId="1EDB0DA3" w14:textId="0E399D8E"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TERZA – ATTIVITÀ FORMATIVE RICONOSCIUTE</w:t>
      </w:r>
    </w:p>
    <w:p w14:paraId="54A6E0BC"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7. Tipologie di attività formative riconosciute</w:t>
      </w:r>
    </w:p>
    <w:p w14:paraId="210860D1" w14:textId="38183A79" w:rsidR="00B90C56" w:rsidRPr="00B90C56" w:rsidRDefault="00B90C56" w:rsidP="00B90C56">
      <w:pPr>
        <w:jc w:val="both"/>
        <w:rPr>
          <w:rFonts w:ascii="Times New Roman" w:hAnsi="Times New Roman" w:cs="Times New Roman"/>
        </w:rPr>
      </w:pPr>
      <w:r w:rsidRPr="00B90C56">
        <w:rPr>
          <w:rFonts w:ascii="Times New Roman" w:hAnsi="Times New Roman" w:cs="Times New Roman"/>
        </w:rPr>
        <w:t>Possono concorrere al conseguimento dei CFP-APIL le seguenti attività, come dettagliate nella Tabella ufficiale di cui all'Appendice B:</w:t>
      </w:r>
    </w:p>
    <w:p w14:paraId="59770791" w14:textId="0872B38E"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a) </w:t>
      </w:r>
      <w:r w:rsidRPr="00B90C56">
        <w:rPr>
          <w:rFonts w:ascii="Times New Roman" w:hAnsi="Times New Roman" w:cs="Times New Roman"/>
          <w:b/>
        </w:rPr>
        <w:t>Corsi, seminari e webinar</w:t>
      </w:r>
      <w:r w:rsidRPr="00B90C56">
        <w:rPr>
          <w:rFonts w:ascii="Times New Roman" w:hAnsi="Times New Roman" w:cs="Times New Roman"/>
        </w:rPr>
        <w:t xml:space="preserve">: attività formative, in presenza o a distanza, organizzate o riconosciute da APIL, su tematiche attinenti alle aree formative di cui </w:t>
      </w:r>
      <w:r w:rsidR="00027228">
        <w:rPr>
          <w:rFonts w:ascii="Times New Roman" w:hAnsi="Times New Roman" w:cs="Times New Roman"/>
        </w:rPr>
        <w:t>all’art. 9 del presente Manuale</w:t>
      </w:r>
      <w:r w:rsidR="001B7112">
        <w:rPr>
          <w:rFonts w:ascii="Times New Roman" w:hAnsi="Times New Roman" w:cs="Times New Roman"/>
        </w:rPr>
        <w:t>;</w:t>
      </w:r>
    </w:p>
    <w:p w14:paraId="466A371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b) </w:t>
      </w:r>
      <w:r w:rsidRPr="00B90C56">
        <w:rPr>
          <w:rFonts w:ascii="Times New Roman" w:hAnsi="Times New Roman" w:cs="Times New Roman"/>
          <w:b/>
        </w:rPr>
        <w:t>Workshop pratici</w:t>
      </w:r>
      <w:r w:rsidRPr="00B90C56">
        <w:rPr>
          <w:rFonts w:ascii="Times New Roman" w:hAnsi="Times New Roman" w:cs="Times New Roman"/>
        </w:rPr>
        <w:t>: attività laboratoriali con esercitazioni pratiche nel campo della progettazione illuminotecnica;</w:t>
      </w:r>
    </w:p>
    <w:p w14:paraId="73D153E2"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c) </w:t>
      </w:r>
      <w:r w:rsidRPr="00B90C56">
        <w:rPr>
          <w:rFonts w:ascii="Times New Roman" w:hAnsi="Times New Roman" w:cs="Times New Roman"/>
          <w:b/>
        </w:rPr>
        <w:t>Convegni e congressi</w:t>
      </w:r>
      <w:r w:rsidRPr="00B90C56">
        <w:rPr>
          <w:rFonts w:ascii="Times New Roman" w:hAnsi="Times New Roman" w:cs="Times New Roman"/>
        </w:rPr>
        <w:t>: eventi di rilevanza nazionale o internazionale nel settore illuminotecnico e nei settori affini (architettura, design, ingegneria, urbanistica, paesaggio, sostenibilità);</w:t>
      </w:r>
    </w:p>
    <w:p w14:paraId="408C0B1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d) </w:t>
      </w:r>
      <w:r w:rsidRPr="00B90C56">
        <w:rPr>
          <w:rFonts w:ascii="Times New Roman" w:hAnsi="Times New Roman" w:cs="Times New Roman"/>
          <w:b/>
        </w:rPr>
        <w:t>Master universitari e corsi di perfezionamento</w:t>
      </w:r>
      <w:r w:rsidRPr="00B90C56">
        <w:rPr>
          <w:rFonts w:ascii="Times New Roman" w:hAnsi="Times New Roman" w:cs="Times New Roman"/>
        </w:rPr>
        <w:t>: percorsi formativi post-laurea in progettazione della luce o discipline affini;</w:t>
      </w:r>
    </w:p>
    <w:p w14:paraId="5791A90C"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e) </w:t>
      </w:r>
      <w:r w:rsidRPr="00B90C56">
        <w:rPr>
          <w:rFonts w:ascii="Times New Roman" w:hAnsi="Times New Roman" w:cs="Times New Roman"/>
          <w:b/>
        </w:rPr>
        <w:t>Attività di docenza</w:t>
      </w:r>
      <w:r w:rsidRPr="00B90C56">
        <w:rPr>
          <w:rFonts w:ascii="Times New Roman" w:hAnsi="Times New Roman" w:cs="Times New Roman"/>
        </w:rPr>
        <w:t>: incarichi di insegnamento in corsi, seminari, master e workshop nelle materie attinenti alla progettazione della luce;</w:t>
      </w:r>
    </w:p>
    <w:p w14:paraId="0A0F26B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f) </w:t>
      </w:r>
      <w:r w:rsidRPr="00B90C56">
        <w:rPr>
          <w:rFonts w:ascii="Times New Roman" w:hAnsi="Times New Roman" w:cs="Times New Roman"/>
          <w:b/>
        </w:rPr>
        <w:t>Pubblicazioni</w:t>
      </w:r>
      <w:r w:rsidRPr="00B90C56">
        <w:rPr>
          <w:rFonts w:ascii="Times New Roman" w:hAnsi="Times New Roman" w:cs="Times New Roman"/>
        </w:rPr>
        <w:t>: articoli tecnici, articoli scientifici, libri, saggi, monografie o trattati in materie attinenti alla progettazione della luce, pubblicati su riviste specializzate, siti web specializzati o presso editori riconosciuti;</w:t>
      </w:r>
    </w:p>
    <w:p w14:paraId="024C65B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g) </w:t>
      </w:r>
      <w:r w:rsidRPr="00B90C56">
        <w:rPr>
          <w:rFonts w:ascii="Times New Roman" w:hAnsi="Times New Roman" w:cs="Times New Roman"/>
          <w:b/>
        </w:rPr>
        <w:t>Ricerca professionale documentata</w:t>
      </w:r>
      <w:r w:rsidRPr="00B90C56">
        <w:rPr>
          <w:rFonts w:ascii="Times New Roman" w:hAnsi="Times New Roman" w:cs="Times New Roman"/>
        </w:rPr>
        <w:t>: attività di ricerca e innovazione nel campo della luce e delle tecnologie illuminotecniche, documentata mediante relazioni, rapporti di ricerca o prototipi;</w:t>
      </w:r>
    </w:p>
    <w:p w14:paraId="47E7CCC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h) </w:t>
      </w:r>
      <w:r w:rsidRPr="00B90C56">
        <w:rPr>
          <w:rFonts w:ascii="Times New Roman" w:hAnsi="Times New Roman" w:cs="Times New Roman"/>
          <w:b/>
        </w:rPr>
        <w:t>Partecipazione a commissioni tecniche e gruppi di lavoro APIL</w:t>
      </w:r>
      <w:r w:rsidRPr="00B90C56">
        <w:rPr>
          <w:rFonts w:ascii="Times New Roman" w:hAnsi="Times New Roman" w:cs="Times New Roman"/>
        </w:rPr>
        <w:t>: attività svolta nell'ambito degli organi tecnici dell'Associazione o di enti di normazione (UNI, CEI, CIE);</w:t>
      </w:r>
    </w:p>
    <w:p w14:paraId="22A84604"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i) </w:t>
      </w:r>
      <w:r w:rsidRPr="00B90C56">
        <w:rPr>
          <w:rFonts w:ascii="Times New Roman" w:hAnsi="Times New Roman" w:cs="Times New Roman"/>
          <w:b/>
        </w:rPr>
        <w:t>Partecipazione a tavoli tecnici nazionali e internazionali</w:t>
      </w:r>
      <w:r w:rsidRPr="00B90C56">
        <w:rPr>
          <w:rFonts w:ascii="Times New Roman" w:hAnsi="Times New Roman" w:cs="Times New Roman"/>
        </w:rPr>
        <w:t>: di enti pubblici e istituzionali;</w:t>
      </w:r>
    </w:p>
    <w:p w14:paraId="2C92CFC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j) </w:t>
      </w:r>
      <w:r w:rsidRPr="00B90C56">
        <w:rPr>
          <w:rFonts w:ascii="Times New Roman" w:hAnsi="Times New Roman" w:cs="Times New Roman"/>
          <w:b/>
        </w:rPr>
        <w:t>Visite tecniche documentate</w:t>
      </w:r>
      <w:r w:rsidRPr="00B90C56">
        <w:rPr>
          <w:rFonts w:ascii="Times New Roman" w:hAnsi="Times New Roman" w:cs="Times New Roman"/>
        </w:rPr>
        <w:t>: sopralluoghi e visite a impianti, stabilimenti, realizzazioni illuminotecniche di particolare interesse tecnico o artistico;</w:t>
      </w:r>
    </w:p>
    <w:p w14:paraId="17392A2F"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k) </w:t>
      </w:r>
      <w:r w:rsidRPr="00B90C56">
        <w:rPr>
          <w:rFonts w:ascii="Times New Roman" w:hAnsi="Times New Roman" w:cs="Times New Roman"/>
          <w:b/>
        </w:rPr>
        <w:t>Attività di mentoring e tutoring</w:t>
      </w:r>
      <w:r w:rsidRPr="00B90C56">
        <w:rPr>
          <w:rFonts w:ascii="Times New Roman" w:hAnsi="Times New Roman" w:cs="Times New Roman"/>
        </w:rPr>
        <w:t>: affiancamento di giovani professionisti nell'ambito di programmi riconosciuti da APIL;</w:t>
      </w:r>
    </w:p>
    <w:p w14:paraId="07140559"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l) </w:t>
      </w:r>
      <w:r w:rsidRPr="00B90C56">
        <w:rPr>
          <w:rFonts w:ascii="Times New Roman" w:hAnsi="Times New Roman" w:cs="Times New Roman"/>
          <w:b/>
        </w:rPr>
        <w:t>Altre attività formative equivalenti</w:t>
      </w:r>
      <w:r w:rsidRPr="00B90C56">
        <w:rPr>
          <w:rFonts w:ascii="Times New Roman" w:hAnsi="Times New Roman" w:cs="Times New Roman"/>
        </w:rPr>
        <w:t>: attività diverse da quelle elencate, valutate e riconosciute caso per caso dalla CTS.</w:t>
      </w:r>
    </w:p>
    <w:p w14:paraId="04708739" w14:textId="77777777" w:rsidR="00027228" w:rsidRDefault="00027228" w:rsidP="00B90C56">
      <w:pPr>
        <w:pStyle w:val="Titolo3"/>
        <w:spacing w:before="0" w:after="0"/>
        <w:jc w:val="both"/>
        <w:rPr>
          <w:rFonts w:ascii="Times New Roman" w:hAnsi="Times New Roman" w:cs="Times New Roman"/>
          <w:b/>
          <w:bCs/>
          <w:color w:val="000000"/>
          <w:sz w:val="24"/>
          <w:szCs w:val="24"/>
        </w:rPr>
      </w:pPr>
    </w:p>
    <w:p w14:paraId="261DEA9F" w14:textId="42925FC3"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8. Riconoscimento di attività formative esterne</w:t>
      </w:r>
    </w:p>
    <w:p w14:paraId="64BE8D9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CTS valuta l'idoneità delle attività formative svolte dagli associati presso enti esterni, ai fini del riconoscimento dei CFP-APIL, sulla base dei seguenti criteri:</w:t>
      </w:r>
    </w:p>
    <w:p w14:paraId="7D4A7354" w14:textId="3FD93E0D"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a) attinenza dell'attività alle aree formative di cui </w:t>
      </w:r>
      <w:r w:rsidR="001B7112">
        <w:rPr>
          <w:rFonts w:ascii="Times New Roman" w:hAnsi="Times New Roman" w:cs="Times New Roman"/>
        </w:rPr>
        <w:t>all’art.) del presente Manuale</w:t>
      </w:r>
      <w:r w:rsidRPr="00B90C56">
        <w:rPr>
          <w:rFonts w:ascii="Times New Roman" w:hAnsi="Times New Roman" w:cs="Times New Roman"/>
        </w:rPr>
        <w:t>;</w:t>
      </w:r>
    </w:p>
    <w:p w14:paraId="2C37546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qualità e affidabilità dell'ente organizzatore;</w:t>
      </w:r>
    </w:p>
    <w:p w14:paraId="61AEBDA0"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durata effettiva e contenuti dell'attività;</w:t>
      </w:r>
    </w:p>
    <w:p w14:paraId="07AD8FC6"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d) modalità di rilevazione delle presenze e di verifica dell'apprendimento.</w:t>
      </w:r>
    </w:p>
    <w:p w14:paraId="287160F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L'associato che intenda ottenere il riconoscimento di un'attività formativa esterna deve presentare alla CTS la documentazione comprovante la partecipazione (attestato di frequenza, certificazione, programma dell'evento).</w:t>
      </w:r>
    </w:p>
    <w:p w14:paraId="20A0D85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CTS può richiedere documentazione integrativa e si pronuncia entro 60 giorni dalla richiesta.</w:t>
      </w:r>
    </w:p>
    <w:p w14:paraId="7B658FB4" w14:textId="77777777" w:rsidR="00B90C56" w:rsidRDefault="00B90C56" w:rsidP="00B90C56">
      <w:pPr>
        <w:pStyle w:val="Titolo2"/>
        <w:spacing w:before="0" w:after="0"/>
        <w:jc w:val="both"/>
        <w:rPr>
          <w:rFonts w:ascii="Times New Roman" w:hAnsi="Times New Roman" w:cs="Times New Roman"/>
          <w:color w:val="000000"/>
          <w:sz w:val="24"/>
          <w:szCs w:val="24"/>
        </w:rPr>
      </w:pPr>
    </w:p>
    <w:p w14:paraId="55994751" w14:textId="2170B1E6"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QUARTA – PROGRAMMA FORMATIVO APIL</w:t>
      </w:r>
    </w:p>
    <w:p w14:paraId="7451DEF7"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9. Aree formative</w:t>
      </w:r>
    </w:p>
    <w:p w14:paraId="03E3A33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Programma Formativo APIL si articola nelle seguenti aree:</w:t>
      </w:r>
    </w:p>
    <w:p w14:paraId="4EF85336"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b/>
        </w:rPr>
        <w:t>Area 1 – Competenze Tecniche e Normative</w:t>
      </w:r>
    </w:p>
    <w:p w14:paraId="279D123D"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Fotometria, ottiche, LED e sorgenti luminose, normativa tecnica nazionale e internazionale, illuminazione urbana, illuminazione architettonica e beni culturali, illuminazione del paesaggio, illuminazione di interni, illuminazione museale, illuminazione commerciale e industriale.</w:t>
      </w:r>
    </w:p>
    <w:p w14:paraId="4FD17CE9"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b/>
        </w:rPr>
        <w:t>Area 2 – Software e Strumenti Digitali</w:t>
      </w:r>
    </w:p>
    <w:p w14:paraId="32B1CCD0" w14:textId="77777777" w:rsidR="00B90C56" w:rsidRPr="00B90C56" w:rsidRDefault="00B90C56" w:rsidP="00B90C56">
      <w:pPr>
        <w:jc w:val="both"/>
        <w:rPr>
          <w:rFonts w:ascii="Times New Roman" w:hAnsi="Times New Roman" w:cs="Times New Roman"/>
        </w:rPr>
      </w:pPr>
      <w:proofErr w:type="spellStart"/>
      <w:r w:rsidRPr="00B90C56">
        <w:rPr>
          <w:rFonts w:ascii="Times New Roman" w:hAnsi="Times New Roman" w:cs="Times New Roman"/>
        </w:rPr>
        <w:t>Dialux</w:t>
      </w:r>
      <w:proofErr w:type="spellEnd"/>
      <w:r w:rsidRPr="00B90C56">
        <w:rPr>
          <w:rFonts w:ascii="Times New Roman" w:hAnsi="Times New Roman" w:cs="Times New Roman"/>
        </w:rPr>
        <w:t xml:space="preserve">, </w:t>
      </w:r>
      <w:proofErr w:type="spellStart"/>
      <w:r w:rsidRPr="00B90C56">
        <w:rPr>
          <w:rFonts w:ascii="Times New Roman" w:hAnsi="Times New Roman" w:cs="Times New Roman"/>
        </w:rPr>
        <w:t>Relux</w:t>
      </w:r>
      <w:proofErr w:type="spellEnd"/>
      <w:r w:rsidRPr="00B90C56">
        <w:rPr>
          <w:rFonts w:ascii="Times New Roman" w:hAnsi="Times New Roman" w:cs="Times New Roman"/>
        </w:rPr>
        <w:t xml:space="preserve">, BIM, simulazione della luce naturale (daylight </w:t>
      </w:r>
      <w:proofErr w:type="spellStart"/>
      <w:r w:rsidRPr="00B90C56">
        <w:rPr>
          <w:rFonts w:ascii="Times New Roman" w:hAnsi="Times New Roman" w:cs="Times New Roman"/>
        </w:rPr>
        <w:t>simulation</w:t>
      </w:r>
      <w:proofErr w:type="spellEnd"/>
      <w:r w:rsidRPr="00B90C56">
        <w:rPr>
          <w:rFonts w:ascii="Times New Roman" w:hAnsi="Times New Roman" w:cs="Times New Roman"/>
        </w:rPr>
        <w:t>), rendering, modellazione 3D, strumenti di calcolo e verifica illuminotecnica.</w:t>
      </w:r>
    </w:p>
    <w:p w14:paraId="6A0B1D0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b/>
        </w:rPr>
        <w:t>Area 3 – Innovazione e Ricerca</w:t>
      </w:r>
    </w:p>
    <w:p w14:paraId="47668597"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Human </w:t>
      </w:r>
      <w:proofErr w:type="spellStart"/>
      <w:r w:rsidRPr="00B90C56">
        <w:rPr>
          <w:rFonts w:ascii="Times New Roman" w:hAnsi="Times New Roman" w:cs="Times New Roman"/>
        </w:rPr>
        <w:t>Centric</w:t>
      </w:r>
      <w:proofErr w:type="spellEnd"/>
      <w:r w:rsidRPr="00B90C56">
        <w:rPr>
          <w:rFonts w:ascii="Times New Roman" w:hAnsi="Times New Roman" w:cs="Times New Roman"/>
        </w:rPr>
        <w:t xml:space="preserve"> Lighting, IoT e smart lighting, ricerca applicata, neuroscienze e percezione visiva, nuove tecnologie e materiali, lighting design circolare.</w:t>
      </w:r>
    </w:p>
    <w:p w14:paraId="431FD416" w14:textId="77777777" w:rsidR="00B90C56" w:rsidRPr="00B90C56" w:rsidRDefault="00B90C56" w:rsidP="00B90C56">
      <w:pPr>
        <w:jc w:val="both"/>
        <w:rPr>
          <w:rFonts w:ascii="Times New Roman" w:hAnsi="Times New Roman" w:cs="Times New Roman"/>
          <w:lang w:val="en-US"/>
        </w:rPr>
      </w:pPr>
      <w:r w:rsidRPr="00B90C56">
        <w:rPr>
          <w:rFonts w:ascii="Times New Roman" w:hAnsi="Times New Roman" w:cs="Times New Roman"/>
          <w:b/>
          <w:lang w:val="en-US"/>
        </w:rPr>
        <w:t>Area 4 – Project Management e Soft Skills</w:t>
      </w:r>
    </w:p>
    <w:p w14:paraId="37182ED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Gestione del progetto illuminotecnico, comunicazione con il committente e con </w:t>
      </w:r>
      <w:proofErr w:type="gramStart"/>
      <w:r w:rsidRPr="00B90C56">
        <w:rPr>
          <w:rFonts w:ascii="Times New Roman" w:hAnsi="Times New Roman" w:cs="Times New Roman"/>
        </w:rPr>
        <w:t>il team</w:t>
      </w:r>
      <w:proofErr w:type="gramEnd"/>
      <w:r w:rsidRPr="00B90C56">
        <w:rPr>
          <w:rFonts w:ascii="Times New Roman" w:hAnsi="Times New Roman" w:cs="Times New Roman"/>
        </w:rPr>
        <w:t xml:space="preserve"> di progetto, contrattualistica, organizzazione dello studio o della società professionale, marketing dei servizi professionali.</w:t>
      </w:r>
    </w:p>
    <w:p w14:paraId="35CA396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b/>
        </w:rPr>
        <w:t>Area 5 – Etica, Sostenibilità e Tutela dell'Utenza</w:t>
      </w:r>
    </w:p>
    <w:p w14:paraId="2A085CC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Codice Deontologico e di Condotta APIL, sostenibilità ambientale e contenimento dell'inquinamento luminoso, economia circolare, sicurezza, tutela del consumatore.</w:t>
      </w:r>
    </w:p>
    <w:p w14:paraId="1DDC7259"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CTS aggiorna periodicamente il Programma Formativo, con particolare riferimento all'Area 1 e all'Area 3, per tenere conto dell'evoluzione tecnologica e normativa del settore.</w:t>
      </w:r>
    </w:p>
    <w:p w14:paraId="2D1B8651" w14:textId="77777777" w:rsidR="00B90C56" w:rsidRPr="00B90C56" w:rsidRDefault="00B90C56" w:rsidP="00B90C56">
      <w:pPr>
        <w:pStyle w:val="Titolo3"/>
        <w:spacing w:before="0" w:after="0"/>
        <w:jc w:val="both"/>
        <w:rPr>
          <w:rFonts w:ascii="Times New Roman" w:hAnsi="Times New Roman" w:cs="Times New Roman"/>
          <w:sz w:val="24"/>
          <w:szCs w:val="24"/>
        </w:rPr>
      </w:pPr>
      <w:r w:rsidRPr="00B90C56">
        <w:rPr>
          <w:rFonts w:ascii="Times New Roman" w:hAnsi="Times New Roman" w:cs="Times New Roman"/>
          <w:color w:val="000000"/>
          <w:sz w:val="24"/>
          <w:szCs w:val="24"/>
        </w:rPr>
        <w:t>10. Programmazione annuale delle attività formative</w:t>
      </w:r>
    </w:p>
    <w:p w14:paraId="13FC9DE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Entro il 31 ottobre di ciascun anno, la CTS propone al Consiglio Direttivo il programma delle attività formative per l'anno successivo, indicando:</w:t>
      </w:r>
    </w:p>
    <w:p w14:paraId="5D43786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tipologia, titolo e contenuti di ciascuna attività;</w:t>
      </w:r>
    </w:p>
    <w:p w14:paraId="006E98BB"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date e modalità di svolgimento (in presenza, a distanza, mista);</w:t>
      </w:r>
    </w:p>
    <w:p w14:paraId="2DE5EFD6"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numero di CFP-APIL attribuiti;</w:t>
      </w:r>
    </w:p>
    <w:p w14:paraId="692EBD8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d) eventuali costi di partecipazione, contenuti entro i limiti della copertura dei costi vivi;</w:t>
      </w:r>
    </w:p>
    <w:p w14:paraId="4129F91D"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e) enti o soggetti terzi coinvolti nell'organizzazione.</w:t>
      </w:r>
    </w:p>
    <w:p w14:paraId="0246A282" w14:textId="77777777" w:rsidR="00B90C56" w:rsidRDefault="00B90C56" w:rsidP="00B90C56">
      <w:pPr>
        <w:jc w:val="both"/>
        <w:rPr>
          <w:rFonts w:ascii="Times New Roman" w:hAnsi="Times New Roman" w:cs="Times New Roman"/>
        </w:rPr>
      </w:pPr>
      <w:r w:rsidRPr="00B90C56">
        <w:rPr>
          <w:rFonts w:ascii="Times New Roman" w:hAnsi="Times New Roman" w:cs="Times New Roman"/>
        </w:rPr>
        <w:t>Il programma approvato è pubblicato sul sito web associativo entro il 31 dicembre.</w:t>
      </w:r>
    </w:p>
    <w:p w14:paraId="3841B5E5" w14:textId="77777777" w:rsidR="00110705" w:rsidRDefault="00110705" w:rsidP="00B90C56">
      <w:pPr>
        <w:jc w:val="both"/>
        <w:rPr>
          <w:rFonts w:ascii="Times New Roman" w:hAnsi="Times New Roman" w:cs="Times New Roman"/>
        </w:rPr>
      </w:pPr>
    </w:p>
    <w:p w14:paraId="361B1173" w14:textId="77777777" w:rsidR="00110705" w:rsidRPr="00B90C56" w:rsidRDefault="00110705" w:rsidP="00B90C56">
      <w:pPr>
        <w:jc w:val="both"/>
        <w:rPr>
          <w:rFonts w:ascii="Times New Roman" w:hAnsi="Times New Roman" w:cs="Times New Roman"/>
        </w:rPr>
      </w:pPr>
    </w:p>
    <w:p w14:paraId="770068C0" w14:textId="77777777" w:rsidR="00B90C56" w:rsidRDefault="00B90C56" w:rsidP="00B90C56">
      <w:pPr>
        <w:jc w:val="both"/>
        <w:rPr>
          <w:rFonts w:ascii="Times New Roman" w:hAnsi="Times New Roman" w:cs="Times New Roman"/>
        </w:rPr>
      </w:pPr>
      <w:r w:rsidRPr="00B90C56">
        <w:rPr>
          <w:rFonts w:ascii="Times New Roman" w:hAnsi="Times New Roman" w:cs="Times New Roman"/>
        </w:rPr>
        <w:lastRenderedPageBreak/>
        <w:t xml:space="preserve">L'attività di formazione e aggiornamento non deve comportare un onere economico rilevante per gli </w:t>
      </w:r>
    </w:p>
    <w:p w14:paraId="6AD507F3" w14:textId="0246F3B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associati, in funzione del principio di non </w:t>
      </w:r>
      <w:proofErr w:type="spellStart"/>
      <w:r w:rsidRPr="00B90C56">
        <w:rPr>
          <w:rFonts w:ascii="Times New Roman" w:hAnsi="Times New Roman" w:cs="Times New Roman"/>
        </w:rPr>
        <w:t>lucratività</w:t>
      </w:r>
      <w:proofErr w:type="spellEnd"/>
      <w:r w:rsidRPr="00B90C56">
        <w:rPr>
          <w:rFonts w:ascii="Times New Roman" w:hAnsi="Times New Roman" w:cs="Times New Roman"/>
        </w:rPr>
        <w:t xml:space="preserve"> di cui all'art. 5 della Legge 4/2013. La CTS assicura che nel programma annuale siano presenti attività formative gratuite in misura sufficiente a consentire l'assolvimento dell'obbligo formativo minimo.</w:t>
      </w:r>
    </w:p>
    <w:p w14:paraId="018D48B2" w14:textId="77777777" w:rsidR="00B90C56" w:rsidRDefault="00B90C56" w:rsidP="00B90C56">
      <w:pPr>
        <w:pStyle w:val="Titolo2"/>
        <w:spacing w:before="0" w:after="0"/>
        <w:jc w:val="both"/>
        <w:rPr>
          <w:rFonts w:ascii="Times New Roman" w:hAnsi="Times New Roman" w:cs="Times New Roman"/>
          <w:color w:val="000000"/>
          <w:sz w:val="24"/>
          <w:szCs w:val="24"/>
        </w:rPr>
      </w:pPr>
    </w:p>
    <w:p w14:paraId="099EF45D" w14:textId="65BF9393"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QUINTA – REGISTRAZIONE E DOCUMENTAZIONE DELLE ATTIVITÀ FORMATIVE</w:t>
      </w:r>
    </w:p>
    <w:p w14:paraId="32113A60"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11. Portfolio Formativo APIL</w:t>
      </w:r>
    </w:p>
    <w:p w14:paraId="59F93D4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Ciascun Socio Professionista mantiene un proprio Portfolio Formativo APIL contenente:</w:t>
      </w:r>
    </w:p>
    <w:p w14:paraId="49AFD249"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le attività formative svolte, con indicazione della data, della tipologia, della durata e dei CFP-APIL maturati;</w:t>
      </w:r>
    </w:p>
    <w:p w14:paraId="7923150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la documentazione comprovante la partecipazione (attestati, certificati, dichiarazioni);</w:t>
      </w:r>
    </w:p>
    <w:p w14:paraId="51EABDE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per le pubblicazioni: copia dell'articolo o della pubblicazione o riferimenti bibliografici completi;</w:t>
      </w:r>
    </w:p>
    <w:p w14:paraId="35852E3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d) per l'attività di docenza: programma del corso e attestazione dell'ente organizzatore;</w:t>
      </w:r>
    </w:p>
    <w:p w14:paraId="514A331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e) per le visite tecniche: relazione sintetica e documentazione fotografica.</w:t>
      </w:r>
    </w:p>
    <w:p w14:paraId="2696EE0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Portfolio Formativo è compilato a cura del Socio Professionista, sotto la propria responsabilità, e costituisce la base documentale per le verifiche della CTS.</w:t>
      </w:r>
    </w:p>
    <w:p w14:paraId="0E0086E7" w14:textId="77777777" w:rsidR="00B90C56" w:rsidRDefault="00B90C56" w:rsidP="00B90C56">
      <w:pPr>
        <w:pStyle w:val="Titolo3"/>
        <w:spacing w:before="0" w:after="0"/>
        <w:jc w:val="both"/>
        <w:rPr>
          <w:rFonts w:ascii="Times New Roman" w:hAnsi="Times New Roman" w:cs="Times New Roman"/>
          <w:color w:val="000000"/>
          <w:sz w:val="24"/>
          <w:szCs w:val="24"/>
        </w:rPr>
      </w:pPr>
    </w:p>
    <w:p w14:paraId="0736088B" w14:textId="242A836C"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12. Registro CFP-APIL</w:t>
      </w:r>
    </w:p>
    <w:p w14:paraId="3EF25DFD" w14:textId="70189C73"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Registro CFP-APIL è lo strumento di registrazione annuale delle attività formative, il cui modello è riportato nell'Appendice A</w:t>
      </w:r>
      <w:r w:rsidR="00027228">
        <w:rPr>
          <w:rFonts w:ascii="Times New Roman" w:hAnsi="Times New Roman" w:cs="Times New Roman"/>
        </w:rPr>
        <w:t xml:space="preserve"> </w:t>
      </w:r>
      <w:r w:rsidRPr="00B90C56">
        <w:rPr>
          <w:rFonts w:ascii="Times New Roman" w:hAnsi="Times New Roman" w:cs="Times New Roman"/>
        </w:rPr>
        <w:t>del presente Manuale.</w:t>
      </w:r>
    </w:p>
    <w:p w14:paraId="730C942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Registro è compilato dal Socio Professionista con l'indicazione, per ciascuna attività:</w:t>
      </w:r>
    </w:p>
    <w:p w14:paraId="449D069E"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data di svolgimento;</w:t>
      </w:r>
    </w:p>
    <w:p w14:paraId="5713C2E0"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tipologia e titolo dell'attività;</w:t>
      </w:r>
    </w:p>
    <w:p w14:paraId="2C27DF4C" w14:textId="7B36D804" w:rsidR="00B90C56" w:rsidRPr="00B90C56" w:rsidRDefault="00B90C56" w:rsidP="00B90C56">
      <w:pPr>
        <w:jc w:val="both"/>
        <w:rPr>
          <w:rFonts w:ascii="Times New Roman" w:hAnsi="Times New Roman" w:cs="Times New Roman"/>
        </w:rPr>
      </w:pPr>
      <w:r w:rsidRPr="00B90C56">
        <w:rPr>
          <w:rFonts w:ascii="Times New Roman" w:hAnsi="Times New Roman" w:cs="Times New Roman"/>
        </w:rPr>
        <w:t>c) categoria CFP secondo la Tabella di cui all'Appendice B;</w:t>
      </w:r>
    </w:p>
    <w:p w14:paraId="10AE2ADF"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d) durata effettiva in ore;</w:t>
      </w:r>
    </w:p>
    <w:p w14:paraId="04AF72B3"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e) numero di CFP-APIL maturati;</w:t>
      </w:r>
    </w:p>
    <w:p w14:paraId="18DD1B74" w14:textId="69F52589" w:rsidR="00B90C56" w:rsidRPr="00B90C56" w:rsidRDefault="00B90C56" w:rsidP="00B90C56">
      <w:pPr>
        <w:jc w:val="both"/>
        <w:rPr>
          <w:rFonts w:ascii="Times New Roman" w:hAnsi="Times New Roman" w:cs="Times New Roman"/>
        </w:rPr>
      </w:pPr>
      <w:r w:rsidRPr="00B90C56">
        <w:rPr>
          <w:rFonts w:ascii="Times New Roman" w:hAnsi="Times New Roman" w:cs="Times New Roman"/>
        </w:rPr>
        <w:t>f) documentazione a supporto.</w:t>
      </w:r>
    </w:p>
    <w:p w14:paraId="7572E750" w14:textId="0C2E50FE" w:rsidR="00B90C56" w:rsidRPr="00B90C56" w:rsidRDefault="00B90C56" w:rsidP="00B90C56">
      <w:pPr>
        <w:jc w:val="both"/>
        <w:rPr>
          <w:rFonts w:ascii="Times New Roman" w:hAnsi="Times New Roman" w:cs="Times New Roman"/>
        </w:rPr>
      </w:pPr>
      <w:r w:rsidRPr="00B90C56">
        <w:rPr>
          <w:rFonts w:ascii="Times New Roman" w:hAnsi="Times New Roman" w:cs="Times New Roman"/>
        </w:rPr>
        <w:t>Al termine di ciascun anno solare, entro il 31 gennaio dell'anno successivo, il Socio Professionista trasmette alla CTS il Registro CFP-APIL compilato e sottoscritto, unitamente alla documentazione di supporto.</w:t>
      </w:r>
    </w:p>
    <w:p w14:paraId="5CFB83AD" w14:textId="77777777" w:rsidR="00B90C56" w:rsidRDefault="00B90C56" w:rsidP="00B90C56">
      <w:pPr>
        <w:pStyle w:val="Titolo3"/>
        <w:spacing w:before="0" w:after="0"/>
        <w:jc w:val="both"/>
        <w:rPr>
          <w:rFonts w:ascii="Times New Roman" w:hAnsi="Times New Roman" w:cs="Times New Roman"/>
          <w:color w:val="000000"/>
          <w:sz w:val="24"/>
          <w:szCs w:val="24"/>
        </w:rPr>
      </w:pPr>
    </w:p>
    <w:p w14:paraId="5420CE6A" w14:textId="4544018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13. Attestati di partecipazione</w:t>
      </w:r>
    </w:p>
    <w:p w14:paraId="099B972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Per ogni attività formativa organizzata o riconosciuta da APIL, la Segreteria Generale rilascia al partecipante un attestato di frequenza recante:</w:t>
      </w:r>
    </w:p>
    <w:p w14:paraId="310229B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i dati identificativi del partecipante;</w:t>
      </w:r>
    </w:p>
    <w:p w14:paraId="3B07A2C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b) il titolo e la tipologia dell'attività;</w:t>
      </w:r>
    </w:p>
    <w:p w14:paraId="2EFBAC51"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c) la data e la durata effettiva;</w:t>
      </w:r>
    </w:p>
    <w:p w14:paraId="080E6FF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d) il numero di CFP-APIL attribuiti;</w:t>
      </w:r>
    </w:p>
    <w:p w14:paraId="2CEA876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e) la firma del Coordinatore della CTS o del Segretario Generale.</w:t>
      </w:r>
    </w:p>
    <w:p w14:paraId="2A477E4A" w14:textId="47792C5D" w:rsidR="00B90C56" w:rsidRPr="00110705" w:rsidRDefault="00B90C56" w:rsidP="00110705">
      <w:pPr>
        <w:jc w:val="both"/>
        <w:rPr>
          <w:rFonts w:ascii="Times New Roman" w:hAnsi="Times New Roman" w:cs="Times New Roman"/>
        </w:rPr>
      </w:pPr>
      <w:r w:rsidRPr="00B90C56">
        <w:rPr>
          <w:rFonts w:ascii="Times New Roman" w:hAnsi="Times New Roman" w:cs="Times New Roman"/>
        </w:rPr>
        <w:t>La CTS verifica l'idoneità del socio a ottenere l'attestato; la Segreteria Generale provvede al rilascio materiale.</w:t>
      </w:r>
    </w:p>
    <w:p w14:paraId="45699F52" w14:textId="77777777" w:rsidR="00027228" w:rsidRDefault="00027228" w:rsidP="00B90C56">
      <w:pPr>
        <w:pStyle w:val="Titolo2"/>
        <w:spacing w:before="0" w:after="0"/>
        <w:jc w:val="both"/>
        <w:rPr>
          <w:rFonts w:ascii="Times New Roman" w:hAnsi="Times New Roman" w:cs="Times New Roman"/>
          <w:b/>
          <w:bCs/>
          <w:color w:val="000000"/>
          <w:sz w:val="24"/>
          <w:szCs w:val="24"/>
        </w:rPr>
      </w:pPr>
    </w:p>
    <w:p w14:paraId="5747E0C9" w14:textId="396DD3F8"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SESTA – VERIFICA DELL'ASSOLVIMENTO DEGLI OBBLIGHI FORMATIVI</w:t>
      </w:r>
    </w:p>
    <w:p w14:paraId="7B875974"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14. Sistema di monitoraggio e verifica</w:t>
      </w:r>
    </w:p>
    <w:p w14:paraId="127FC090" w14:textId="095CAC44"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La CTS effettua la verifica annuale dell'assolvimento degli obblighi formativi mediante un sistema articolato su </w:t>
      </w:r>
      <w:r w:rsidR="00027228">
        <w:rPr>
          <w:rFonts w:ascii="Times New Roman" w:hAnsi="Times New Roman" w:cs="Times New Roman"/>
        </w:rPr>
        <w:t>due</w:t>
      </w:r>
      <w:r w:rsidRPr="00B90C56">
        <w:rPr>
          <w:rFonts w:ascii="Times New Roman" w:hAnsi="Times New Roman" w:cs="Times New Roman"/>
        </w:rPr>
        <w:t xml:space="preserve"> livelli, in conformità a quanto previsto dall'art. 12 del Regolamento Professionale:</w:t>
      </w:r>
    </w:p>
    <w:p w14:paraId="4A0B0CE2"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a) </w:t>
      </w:r>
      <w:r w:rsidRPr="00B90C56">
        <w:rPr>
          <w:rFonts w:ascii="Times New Roman" w:hAnsi="Times New Roman" w:cs="Times New Roman"/>
          <w:b/>
        </w:rPr>
        <w:t>Verifica documentale integrale</w:t>
      </w:r>
      <w:r w:rsidRPr="00B90C56">
        <w:rPr>
          <w:rFonts w:ascii="Times New Roman" w:hAnsi="Times New Roman" w:cs="Times New Roman"/>
        </w:rPr>
        <w:t>: esame della documentazione trasmessa da ciascun Socio Professionista (Registro CFP-APIL, attestati, certificazioni);</w:t>
      </w:r>
    </w:p>
    <w:p w14:paraId="24FA1943" w14:textId="76D1003B"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b) </w:t>
      </w:r>
      <w:r w:rsidRPr="00B90C56">
        <w:rPr>
          <w:rFonts w:ascii="Times New Roman" w:hAnsi="Times New Roman" w:cs="Times New Roman"/>
          <w:b/>
        </w:rPr>
        <w:t>Controlli a campione</w:t>
      </w:r>
      <w:r w:rsidRPr="00B90C56">
        <w:rPr>
          <w:rFonts w:ascii="Times New Roman" w:hAnsi="Times New Roman" w:cs="Times New Roman"/>
        </w:rPr>
        <w:t>: verifica approfondita su almeno il 30% dei Soci Professionisti, selezionati mediante estrazione casuale, con richiesta di documentazione integrativa e, ove ritenuto necessario dalla CTS, colloquio di verifica</w:t>
      </w:r>
      <w:r w:rsidR="001B7112">
        <w:rPr>
          <w:rFonts w:ascii="Times New Roman" w:hAnsi="Times New Roman" w:cs="Times New Roman"/>
        </w:rPr>
        <w:t>.</w:t>
      </w:r>
    </w:p>
    <w:p w14:paraId="6219EEC8" w14:textId="77777777" w:rsidR="00B90C56" w:rsidRDefault="00B90C56" w:rsidP="00B90C56">
      <w:pPr>
        <w:pStyle w:val="Titolo3"/>
        <w:spacing w:before="0" w:after="0"/>
        <w:jc w:val="both"/>
        <w:rPr>
          <w:rFonts w:ascii="Times New Roman" w:hAnsi="Times New Roman" w:cs="Times New Roman"/>
          <w:color w:val="000000"/>
          <w:sz w:val="24"/>
          <w:szCs w:val="24"/>
        </w:rPr>
      </w:pPr>
    </w:p>
    <w:p w14:paraId="29A7ED0B" w14:textId="56505000"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15. Procedura in caso di inadempimento</w:t>
      </w:r>
    </w:p>
    <w:p w14:paraId="2A3D8056"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Il Socio Professionista che, all'esito della verifica annuale, non abbia maturato il numero minimo di </w:t>
      </w:r>
      <w:proofErr w:type="gramStart"/>
      <w:r w:rsidRPr="00B90C56">
        <w:rPr>
          <w:rFonts w:ascii="Times New Roman" w:hAnsi="Times New Roman" w:cs="Times New Roman"/>
        </w:rPr>
        <w:t>10</w:t>
      </w:r>
      <w:proofErr w:type="gramEnd"/>
      <w:r w:rsidRPr="00B90C56">
        <w:rPr>
          <w:rFonts w:ascii="Times New Roman" w:hAnsi="Times New Roman" w:cs="Times New Roman"/>
        </w:rPr>
        <w:t xml:space="preserve"> CFP-APIL è invitato dalla CTS a integrarli entro il termine perentorio di sei mesi, mediante comunicazione scritta inviata tramite PEC o posta elettronica.</w:t>
      </w:r>
    </w:p>
    <w:p w14:paraId="147125B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Decorso inutilmente tale termine, la CTS segnala l'inadempimento al Consiglio Direttivo che:</w:t>
      </w:r>
    </w:p>
    <w:p w14:paraId="53C048A6" w14:textId="20F9CE24" w:rsidR="00B90C56" w:rsidRPr="00B90C56" w:rsidRDefault="00B90C56" w:rsidP="00B90C56">
      <w:pPr>
        <w:jc w:val="both"/>
        <w:rPr>
          <w:rFonts w:ascii="Times New Roman" w:hAnsi="Times New Roman" w:cs="Times New Roman"/>
        </w:rPr>
      </w:pPr>
      <w:r w:rsidRPr="00B90C56">
        <w:rPr>
          <w:rFonts w:ascii="Times New Roman" w:hAnsi="Times New Roman" w:cs="Times New Roman"/>
        </w:rPr>
        <w:t>a) sospende il diritto all'utilizzo dell'Attestazione di Qualità e Qualificazione Professionale</w:t>
      </w:r>
      <w:r w:rsidR="00027228">
        <w:rPr>
          <w:rFonts w:ascii="Times New Roman" w:hAnsi="Times New Roman" w:cs="Times New Roman"/>
        </w:rPr>
        <w:t>, ove rilasciata</w:t>
      </w:r>
      <w:r w:rsidRPr="00B90C56">
        <w:rPr>
          <w:rFonts w:ascii="Times New Roman" w:hAnsi="Times New Roman" w:cs="Times New Roman"/>
        </w:rPr>
        <w:t>;</w:t>
      </w:r>
    </w:p>
    <w:p w14:paraId="55C00B3D" w14:textId="722DF1C9" w:rsidR="00027228" w:rsidRDefault="00B90C56" w:rsidP="00B90C56">
      <w:pPr>
        <w:jc w:val="both"/>
        <w:rPr>
          <w:rFonts w:ascii="Times New Roman" w:hAnsi="Times New Roman" w:cs="Times New Roman"/>
        </w:rPr>
      </w:pPr>
      <w:r w:rsidRPr="00B90C56">
        <w:rPr>
          <w:rFonts w:ascii="Times New Roman" w:hAnsi="Times New Roman" w:cs="Times New Roman"/>
        </w:rPr>
        <w:t xml:space="preserve">b) </w:t>
      </w:r>
      <w:r w:rsidR="001B7112" w:rsidRPr="001B7112">
        <w:rPr>
          <w:rFonts w:ascii="Times New Roman" w:hAnsi="Times New Roman" w:cs="Times New Roman"/>
        </w:rPr>
        <w:t>nei casi di inadempimento protratto per due annualità consecutive, propone all’Organo Disciplinare Indipendente l’adozione dei provvedimenti previsti dal Regolamento Professionale e dal Codice Deontologico e di Condotta APIL, inclusa, nei casi più gravi, l’esclusione dall’Associazione.</w:t>
      </w:r>
    </w:p>
    <w:p w14:paraId="1DA3A73B" w14:textId="77777777" w:rsidR="001B7112" w:rsidRDefault="001B7112" w:rsidP="00B90C56">
      <w:pPr>
        <w:jc w:val="both"/>
        <w:rPr>
          <w:rFonts w:ascii="Times New Roman" w:hAnsi="Times New Roman" w:cs="Times New Roman"/>
        </w:rPr>
      </w:pPr>
    </w:p>
    <w:p w14:paraId="717424B7" w14:textId="51AAB9B8" w:rsidR="00B90C56" w:rsidRPr="00B90C56" w:rsidRDefault="00B90C56" w:rsidP="00B90C56">
      <w:pPr>
        <w:jc w:val="both"/>
        <w:rPr>
          <w:rFonts w:ascii="Times New Roman" w:hAnsi="Times New Roman" w:cs="Times New Roman"/>
        </w:rPr>
      </w:pPr>
      <w:r w:rsidRPr="00B90C56">
        <w:rPr>
          <w:rFonts w:ascii="Times New Roman" w:hAnsi="Times New Roman" w:cs="Times New Roman"/>
        </w:rPr>
        <w:t>Avverso le determinazioni della CTS in materia formativa e i conseguenti provvedimenti del Consiglio Direttivo, l'interessato può presentare ricorso al Consiglio Direttivo entro 30 giorni dalla comunicazione, ai sensi dell'art. 12, comma 4, del Regolamento Professionale.</w:t>
      </w:r>
    </w:p>
    <w:p w14:paraId="23462D9B" w14:textId="77777777" w:rsidR="00B90C56" w:rsidRDefault="00B90C56" w:rsidP="00B90C56">
      <w:pPr>
        <w:pStyle w:val="Titolo2"/>
        <w:spacing w:before="0" w:after="0"/>
        <w:jc w:val="both"/>
        <w:rPr>
          <w:rFonts w:ascii="Times New Roman" w:hAnsi="Times New Roman" w:cs="Times New Roman"/>
          <w:color w:val="000000"/>
          <w:sz w:val="24"/>
          <w:szCs w:val="24"/>
        </w:rPr>
      </w:pPr>
    </w:p>
    <w:p w14:paraId="16612E78" w14:textId="77777777" w:rsidR="00B90C56" w:rsidRDefault="00B90C56" w:rsidP="00B90C56">
      <w:pPr>
        <w:pStyle w:val="Titolo2"/>
        <w:spacing w:before="0" w:after="0"/>
        <w:jc w:val="both"/>
        <w:rPr>
          <w:rFonts w:ascii="Times New Roman" w:hAnsi="Times New Roman" w:cs="Times New Roman"/>
          <w:b/>
          <w:bCs/>
          <w:color w:val="000000"/>
          <w:sz w:val="24"/>
          <w:szCs w:val="24"/>
        </w:rPr>
      </w:pPr>
    </w:p>
    <w:p w14:paraId="0FB162A4" w14:textId="58496E12"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SETTIMA – ESONERI E RIDUZIONI</w:t>
      </w:r>
    </w:p>
    <w:p w14:paraId="2321DF42" w14:textId="77777777" w:rsidR="00B90C56" w:rsidRPr="00B90C56" w:rsidRDefault="00B90C56" w:rsidP="00B90C56">
      <w:pPr>
        <w:pStyle w:val="Titolo3"/>
        <w:spacing w:before="0" w:after="0"/>
        <w:jc w:val="both"/>
        <w:rPr>
          <w:rFonts w:ascii="Times New Roman" w:hAnsi="Times New Roman" w:cs="Times New Roman"/>
          <w:sz w:val="24"/>
          <w:szCs w:val="24"/>
        </w:rPr>
      </w:pPr>
      <w:r w:rsidRPr="00B90C56">
        <w:rPr>
          <w:rFonts w:ascii="Times New Roman" w:hAnsi="Times New Roman" w:cs="Times New Roman"/>
          <w:b/>
          <w:bCs/>
          <w:color w:val="000000"/>
          <w:sz w:val="24"/>
          <w:szCs w:val="24"/>
        </w:rPr>
        <w:t>16. Esoneri dall'obbligo formativo</w:t>
      </w:r>
    </w:p>
    <w:p w14:paraId="657EAADC"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Sono esonerati dall'obbligo formativo, su domanda da presentarsi alla CTS entro il 31 gennaio dell'anno di riferimento, i Soci Professionisti che si trovino in una delle seguenti condizioni:</w:t>
      </w:r>
    </w:p>
    <w:p w14:paraId="476DA97D"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a) </w:t>
      </w:r>
      <w:r w:rsidRPr="00B90C56">
        <w:rPr>
          <w:rFonts w:ascii="Times New Roman" w:hAnsi="Times New Roman" w:cs="Times New Roman"/>
          <w:b/>
        </w:rPr>
        <w:t>Maternità e paternità</w:t>
      </w:r>
      <w:r w:rsidRPr="00B90C56">
        <w:rPr>
          <w:rFonts w:ascii="Times New Roman" w:hAnsi="Times New Roman" w:cs="Times New Roman"/>
        </w:rPr>
        <w:t>: per l'anno di nascita del figlio e per l'anno successivo;</w:t>
      </w:r>
    </w:p>
    <w:p w14:paraId="550C0C02"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b) </w:t>
      </w:r>
      <w:r w:rsidRPr="00B90C56">
        <w:rPr>
          <w:rFonts w:ascii="Times New Roman" w:hAnsi="Times New Roman" w:cs="Times New Roman"/>
          <w:b/>
        </w:rPr>
        <w:t>Malattia prolungata o infortunio grave</w:t>
      </w:r>
      <w:r w:rsidRPr="00B90C56">
        <w:rPr>
          <w:rFonts w:ascii="Times New Roman" w:hAnsi="Times New Roman" w:cs="Times New Roman"/>
        </w:rPr>
        <w:t>: per il periodo di durata dell'impedimento, documentato da certificazione medica;</w:t>
      </w:r>
    </w:p>
    <w:p w14:paraId="4A357C4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c) </w:t>
      </w:r>
      <w:r w:rsidRPr="00B90C56">
        <w:rPr>
          <w:rFonts w:ascii="Times New Roman" w:hAnsi="Times New Roman" w:cs="Times New Roman"/>
          <w:b/>
        </w:rPr>
        <w:t>Interruzione documentata dell'attività professionale</w:t>
      </w:r>
      <w:r w:rsidRPr="00B90C56">
        <w:rPr>
          <w:rFonts w:ascii="Times New Roman" w:hAnsi="Times New Roman" w:cs="Times New Roman"/>
        </w:rPr>
        <w:t>: per periodi non inferiori a sei mesi consecutivi;</w:t>
      </w:r>
    </w:p>
    <w:p w14:paraId="00ED5137"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 xml:space="preserve">d) </w:t>
      </w:r>
      <w:r w:rsidRPr="00B90C56">
        <w:rPr>
          <w:rFonts w:ascii="Times New Roman" w:hAnsi="Times New Roman" w:cs="Times New Roman"/>
          <w:b/>
        </w:rPr>
        <w:t>Altre situazioni eccezionali</w:t>
      </w:r>
      <w:r w:rsidRPr="00B90C56">
        <w:rPr>
          <w:rFonts w:ascii="Times New Roman" w:hAnsi="Times New Roman" w:cs="Times New Roman"/>
        </w:rPr>
        <w:t>: valutate caso per caso dalla CTS (es. periodi di formazione all'estero, impegni di cura familiare documentati, calamità naturali).</w:t>
      </w:r>
    </w:p>
    <w:p w14:paraId="2B515EE8"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L'esonero può essere totale o parziale, in relazione alla durata e alla gravità della situazione. All'esonero parziale consegue la riduzione proporzionale dei CFP da acquisire nell'anno di riferimento.</w:t>
      </w:r>
    </w:p>
    <w:p w14:paraId="5A66186F" w14:textId="437BFF8C" w:rsidR="00B90C56" w:rsidRDefault="00B90C56" w:rsidP="00027228">
      <w:pPr>
        <w:jc w:val="both"/>
        <w:rPr>
          <w:rFonts w:ascii="Times New Roman" w:hAnsi="Times New Roman" w:cs="Times New Roman"/>
        </w:rPr>
      </w:pPr>
      <w:r w:rsidRPr="00B90C56">
        <w:rPr>
          <w:rFonts w:ascii="Times New Roman" w:hAnsi="Times New Roman" w:cs="Times New Roman"/>
        </w:rPr>
        <w:t>La CTS delibera sull'istanza di esonero entro 60 giorni dalla presentazione, con provvedimento motivato.</w:t>
      </w:r>
    </w:p>
    <w:p w14:paraId="5469A767" w14:textId="77777777" w:rsidR="00110705" w:rsidRPr="00027228" w:rsidRDefault="00110705" w:rsidP="00027228">
      <w:pPr>
        <w:jc w:val="both"/>
        <w:rPr>
          <w:rFonts w:ascii="Times New Roman" w:hAnsi="Times New Roman" w:cs="Times New Roman"/>
        </w:rPr>
      </w:pPr>
    </w:p>
    <w:p w14:paraId="43659E95" w14:textId="689294DF"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lastRenderedPageBreak/>
        <w:t>17. Riduzioni</w:t>
      </w:r>
    </w:p>
    <w:p w14:paraId="2C81995D"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CTS può concedere riduzioni dell'obbligo formativo annuale, fino a un massimo del 50%, nei seguenti casi:</w:t>
      </w:r>
    </w:p>
    <w:p w14:paraId="02E55975"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a) comprovati impegni di cura familiare (coniuge, figli, genitori) in stato di invalidità grave;</w:t>
      </w:r>
    </w:p>
    <w:p w14:paraId="732D6E0B" w14:textId="28464D09" w:rsidR="00B90C56" w:rsidRPr="00B90C56" w:rsidRDefault="00B90C56" w:rsidP="00B90C56">
      <w:pPr>
        <w:jc w:val="both"/>
        <w:rPr>
          <w:rFonts w:ascii="Times New Roman" w:hAnsi="Times New Roman" w:cs="Times New Roman"/>
        </w:rPr>
      </w:pPr>
      <w:r w:rsidRPr="00B90C56">
        <w:rPr>
          <w:rFonts w:ascii="Times New Roman" w:hAnsi="Times New Roman" w:cs="Times New Roman"/>
        </w:rPr>
        <w:t>b) altre situazioni particolari valutate dalla CTS.</w:t>
      </w:r>
    </w:p>
    <w:p w14:paraId="18392598" w14:textId="77777777" w:rsidR="00B90C56" w:rsidRDefault="00B90C56" w:rsidP="00B90C56">
      <w:pPr>
        <w:pStyle w:val="Titolo2"/>
        <w:spacing w:before="0" w:after="0"/>
        <w:jc w:val="both"/>
        <w:rPr>
          <w:rFonts w:ascii="Times New Roman" w:hAnsi="Times New Roman" w:cs="Times New Roman"/>
          <w:color w:val="000000"/>
          <w:sz w:val="24"/>
          <w:szCs w:val="24"/>
        </w:rPr>
      </w:pPr>
    </w:p>
    <w:p w14:paraId="0D2A6842" w14:textId="77777777" w:rsidR="00B90C56" w:rsidRPr="00B90C56" w:rsidRDefault="00B90C56" w:rsidP="00B90C56">
      <w:pPr>
        <w:pStyle w:val="Titolo2"/>
        <w:spacing w:before="0" w:after="0"/>
        <w:jc w:val="both"/>
        <w:rPr>
          <w:rFonts w:ascii="Times New Roman" w:hAnsi="Times New Roman" w:cs="Times New Roman"/>
          <w:b/>
          <w:bCs/>
          <w:color w:val="000000"/>
          <w:sz w:val="24"/>
          <w:szCs w:val="24"/>
        </w:rPr>
      </w:pPr>
    </w:p>
    <w:p w14:paraId="30E38DBD" w14:textId="6363F7E8" w:rsidR="00B90C56" w:rsidRPr="00B90C56" w:rsidRDefault="00B90C56" w:rsidP="00B90C56">
      <w:pPr>
        <w:pStyle w:val="Titolo2"/>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PARTE OTTAVA – DISPOSIZIONI FINALI</w:t>
      </w:r>
    </w:p>
    <w:p w14:paraId="24C15B50"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18. Coordinamento con le Commissioni interne APIL</w:t>
      </w:r>
    </w:p>
    <w:p w14:paraId="28D8C2C3" w14:textId="59524A4E" w:rsidR="00B90C56" w:rsidRPr="00B90C56" w:rsidRDefault="00B90C56" w:rsidP="00B90C56">
      <w:pPr>
        <w:jc w:val="both"/>
        <w:rPr>
          <w:rFonts w:ascii="Times New Roman" w:hAnsi="Times New Roman" w:cs="Times New Roman"/>
        </w:rPr>
      </w:pPr>
      <w:r w:rsidRPr="00B90C56">
        <w:rPr>
          <w:rFonts w:ascii="Times New Roman" w:hAnsi="Times New Roman" w:cs="Times New Roman"/>
        </w:rPr>
        <w:t>La CTS opera in coordinamento con le altre Commissioni interne APIL e</w:t>
      </w:r>
      <w:r w:rsidR="001B7112">
        <w:rPr>
          <w:rFonts w:ascii="Times New Roman" w:hAnsi="Times New Roman" w:cs="Times New Roman"/>
        </w:rPr>
        <w:t>,</w:t>
      </w:r>
      <w:r w:rsidRPr="00B90C56">
        <w:rPr>
          <w:rFonts w:ascii="Times New Roman" w:hAnsi="Times New Roman" w:cs="Times New Roman"/>
        </w:rPr>
        <w:t xml:space="preserve"> in particolare:</w:t>
      </w:r>
    </w:p>
    <w:p w14:paraId="3DB92BCC" w14:textId="77777777" w:rsidR="00D7279D" w:rsidRDefault="00B90C56" w:rsidP="00B90C56">
      <w:pPr>
        <w:jc w:val="both"/>
        <w:rPr>
          <w:rFonts w:ascii="Times New Roman" w:hAnsi="Times New Roman" w:cs="Times New Roman"/>
        </w:rPr>
      </w:pPr>
      <w:r w:rsidRPr="00B90C56">
        <w:rPr>
          <w:rFonts w:ascii="Times New Roman" w:hAnsi="Times New Roman" w:cs="Times New Roman"/>
        </w:rPr>
        <w:t xml:space="preserve">a) con la </w:t>
      </w:r>
      <w:r w:rsidRPr="00B90C56">
        <w:rPr>
          <w:rFonts w:ascii="Times New Roman" w:hAnsi="Times New Roman" w:cs="Times New Roman"/>
          <w:b/>
        </w:rPr>
        <w:t>Commissione Eventi</w:t>
      </w:r>
      <w:r w:rsidRPr="00B90C56">
        <w:rPr>
          <w:rFonts w:ascii="Times New Roman" w:hAnsi="Times New Roman" w:cs="Times New Roman"/>
        </w:rPr>
        <w:t xml:space="preserve">, </w:t>
      </w:r>
      <w:r w:rsidR="00D7279D" w:rsidRPr="00D7279D">
        <w:rPr>
          <w:rFonts w:ascii="Times New Roman" w:hAnsi="Times New Roman" w:cs="Times New Roman"/>
        </w:rPr>
        <w:t>per l’ideazione e l’organizzazione di convegni, seminari, workshop e altre iniziative, ferma restando la responsabilità della CTS per la validazione dei contenuti aventi rilevanza formativa e per l’attribuzione dei CFP-APIL;</w:t>
      </w:r>
      <w:r w:rsidR="00D7279D" w:rsidRPr="00B90C56">
        <w:rPr>
          <w:rFonts w:ascii="Times New Roman" w:hAnsi="Times New Roman" w:cs="Times New Roman"/>
        </w:rPr>
        <w:t xml:space="preserve"> </w:t>
      </w:r>
    </w:p>
    <w:p w14:paraId="2B262785" w14:textId="77777777" w:rsidR="00D7279D" w:rsidRDefault="00D7279D" w:rsidP="00B90C56">
      <w:pPr>
        <w:jc w:val="both"/>
        <w:rPr>
          <w:rFonts w:ascii="Times New Roman" w:hAnsi="Times New Roman" w:cs="Times New Roman"/>
        </w:rPr>
      </w:pPr>
    </w:p>
    <w:p w14:paraId="0C90F722" w14:textId="60758C43" w:rsidR="00B90C56" w:rsidRDefault="00D7279D" w:rsidP="00D7279D">
      <w:pPr>
        <w:jc w:val="both"/>
        <w:rPr>
          <w:rFonts w:ascii="Times New Roman" w:hAnsi="Times New Roman" w:cs="Times New Roman"/>
        </w:rPr>
      </w:pPr>
      <w:r w:rsidRPr="00B90C56">
        <w:rPr>
          <w:rFonts w:ascii="Times New Roman" w:hAnsi="Times New Roman" w:cs="Times New Roman"/>
        </w:rPr>
        <w:t>b</w:t>
      </w:r>
      <w:r w:rsidR="00B90C56" w:rsidRPr="00B90C56">
        <w:rPr>
          <w:rFonts w:ascii="Times New Roman" w:hAnsi="Times New Roman" w:cs="Times New Roman"/>
        </w:rPr>
        <w:t xml:space="preserve">) con la </w:t>
      </w:r>
      <w:r w:rsidR="00B90C56" w:rsidRPr="00B90C56">
        <w:rPr>
          <w:rFonts w:ascii="Times New Roman" w:hAnsi="Times New Roman" w:cs="Times New Roman"/>
          <w:b/>
        </w:rPr>
        <w:t>Commissione Soci</w:t>
      </w:r>
      <w:r w:rsidR="00B90C56" w:rsidRPr="00B90C56">
        <w:rPr>
          <w:rFonts w:ascii="Times New Roman" w:hAnsi="Times New Roman" w:cs="Times New Roman"/>
        </w:rPr>
        <w:t xml:space="preserve">, </w:t>
      </w:r>
      <w:r w:rsidRPr="00D7279D">
        <w:rPr>
          <w:rFonts w:ascii="Times New Roman" w:hAnsi="Times New Roman" w:cs="Times New Roman"/>
        </w:rPr>
        <w:t>per le verifiche relative all’assolvimento degli obblighi formativi e alla permanenza dei requisiti richiesti ai Soci Professionisti.</w:t>
      </w:r>
    </w:p>
    <w:p w14:paraId="59C0F0BA" w14:textId="77777777" w:rsidR="00D7279D" w:rsidRPr="00B90C56" w:rsidRDefault="00D7279D" w:rsidP="00D7279D">
      <w:pPr>
        <w:jc w:val="both"/>
        <w:rPr>
          <w:rFonts w:ascii="Times New Roman" w:hAnsi="Times New Roman" w:cs="Times New Roman"/>
          <w:b/>
          <w:bCs/>
          <w:color w:val="000000"/>
        </w:rPr>
      </w:pPr>
    </w:p>
    <w:p w14:paraId="5C9C4203" w14:textId="2EEE71D0"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19. Aggiornamento del Manuale</w:t>
      </w:r>
    </w:p>
    <w:p w14:paraId="719D613A"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presente Manuale è aggiornato dalla CTS, con delibera sottoposta all'approvazione del Consiglio Direttivo, ogni qualvolta si renda necessario per adeguarlo all'evoluzione normativa, tecnologica o professionale del settore, e comunque con cadenza almeno triennale.</w:t>
      </w:r>
    </w:p>
    <w:p w14:paraId="3DA7DCBD" w14:textId="77777777" w:rsidR="00B90C56" w:rsidRDefault="00B90C56" w:rsidP="00B90C56">
      <w:pPr>
        <w:jc w:val="both"/>
        <w:rPr>
          <w:rFonts w:ascii="Times New Roman" w:hAnsi="Times New Roman" w:cs="Times New Roman"/>
        </w:rPr>
      </w:pPr>
      <w:r w:rsidRPr="00B90C56">
        <w:rPr>
          <w:rFonts w:ascii="Times New Roman" w:hAnsi="Times New Roman" w:cs="Times New Roman"/>
        </w:rPr>
        <w:t>Ogni modifica è pubblicata sul sito web associativo entro 15 giorni dall'approvazione e comunicata ai Soci Professionisti.</w:t>
      </w:r>
    </w:p>
    <w:p w14:paraId="400C7A8B" w14:textId="77777777" w:rsidR="00B90C56" w:rsidRPr="00B90C56" w:rsidRDefault="00B90C56" w:rsidP="00B90C56">
      <w:pPr>
        <w:jc w:val="both"/>
        <w:rPr>
          <w:rFonts w:ascii="Times New Roman" w:hAnsi="Times New Roman" w:cs="Times New Roman"/>
        </w:rPr>
      </w:pPr>
    </w:p>
    <w:p w14:paraId="6BCC2370" w14:textId="77777777" w:rsidR="00B90C56" w:rsidRPr="00B90C56" w:rsidRDefault="00B90C56" w:rsidP="00B90C56">
      <w:pPr>
        <w:pStyle w:val="Titolo3"/>
        <w:spacing w:before="0" w:after="0"/>
        <w:jc w:val="both"/>
        <w:rPr>
          <w:rFonts w:ascii="Times New Roman" w:hAnsi="Times New Roman" w:cs="Times New Roman"/>
          <w:b/>
          <w:bCs/>
          <w:sz w:val="24"/>
          <w:szCs w:val="24"/>
        </w:rPr>
      </w:pPr>
      <w:r w:rsidRPr="00B90C56">
        <w:rPr>
          <w:rFonts w:ascii="Times New Roman" w:hAnsi="Times New Roman" w:cs="Times New Roman"/>
          <w:b/>
          <w:bCs/>
          <w:color w:val="000000"/>
          <w:sz w:val="24"/>
          <w:szCs w:val="24"/>
        </w:rPr>
        <w:t>20. Entrata in vigore</w:t>
      </w:r>
    </w:p>
    <w:p w14:paraId="1178654B" w14:textId="77777777"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presente Manuale entra in vigore il giorno successivo alla sua approvazione da parte del Consiglio Direttivo e si applica a tutte le attività formative svolte a decorrere dal 1° gennaio dell'anno successivo.</w:t>
      </w:r>
    </w:p>
    <w:p w14:paraId="52D2AD69" w14:textId="77777777" w:rsidR="00B90C56" w:rsidRPr="00B90C56" w:rsidRDefault="00B90C56" w:rsidP="00B90C56">
      <w:pPr>
        <w:jc w:val="both"/>
        <w:rPr>
          <w:rFonts w:ascii="Times New Roman" w:hAnsi="Times New Roman" w:cs="Times New Roman"/>
        </w:rPr>
      </w:pPr>
    </w:p>
    <w:p w14:paraId="7C9ECBEB" w14:textId="547E3652" w:rsidR="00B90C56" w:rsidRPr="00B90C56" w:rsidRDefault="00D7279D" w:rsidP="00B90C56">
      <w:pPr>
        <w:jc w:val="both"/>
        <w:rPr>
          <w:rFonts w:ascii="Times New Roman" w:hAnsi="Times New Roman" w:cs="Times New Roman"/>
        </w:rPr>
      </w:pPr>
      <w:r w:rsidRPr="00D7279D">
        <w:rPr>
          <w:rFonts w:ascii="Times New Roman" w:hAnsi="Times New Roman" w:cs="Times New Roman"/>
        </w:rPr>
        <w:t>Fino al completamento dell’iter di iscrizione di APIL nella Sezione II dell’Elenco tenuto dal MIMIT, le disposizioni relative al rilascio, al mantenimento e alla sospensione dell’Attestazione trovano applicazione esclusivamente in via programmatica e non comportano il rilascio dell’Attestazione da parte dell’Associazione.</w:t>
      </w:r>
    </w:p>
    <w:p w14:paraId="7301E32A" w14:textId="77777777" w:rsidR="00B90C56" w:rsidRPr="00B90C56" w:rsidRDefault="00B90C56" w:rsidP="00B90C56">
      <w:pPr>
        <w:jc w:val="both"/>
        <w:rPr>
          <w:rFonts w:ascii="Times New Roman" w:hAnsi="Times New Roman" w:cs="Times New Roman"/>
        </w:rPr>
      </w:pPr>
    </w:p>
    <w:p w14:paraId="5AD98BAF" w14:textId="7EA65CCF" w:rsidR="00B90C56" w:rsidRPr="00B90C56" w:rsidRDefault="0010341B" w:rsidP="00B90C56">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47EEEC8A" wp14:editId="429929BF">
            <wp:simplePos x="0" y="0"/>
            <wp:positionH relativeFrom="column">
              <wp:posOffset>67850</wp:posOffset>
            </wp:positionH>
            <wp:positionV relativeFrom="paragraph">
              <wp:posOffset>101519</wp:posOffset>
            </wp:positionV>
            <wp:extent cx="1935294" cy="525294"/>
            <wp:effectExtent l="0" t="0" r="0" b="0"/>
            <wp:wrapNone/>
            <wp:docPr id="337426377" name="Immagine 1" descr="Immagine che contiene calligrafia, Carattere, schizzo, Line 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26377" name="Immagine 1" descr="Immagine che contiene calligrafia, Carattere, schizzo, Line art&#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0803" cy="543075"/>
                    </a:xfrm>
                    <a:prstGeom prst="rect">
                      <a:avLst/>
                    </a:prstGeom>
                  </pic:spPr>
                </pic:pic>
              </a:graphicData>
            </a:graphic>
            <wp14:sizeRelH relativeFrom="page">
              <wp14:pctWidth>0</wp14:pctWidth>
            </wp14:sizeRelH>
            <wp14:sizeRelV relativeFrom="page">
              <wp14:pctHeight>0</wp14:pctHeight>
            </wp14:sizeRelV>
          </wp:anchor>
        </w:drawing>
      </w:r>
    </w:p>
    <w:p w14:paraId="66D09FD3" w14:textId="1B66B4E8" w:rsidR="00B90C56" w:rsidRPr="00B90C56" w:rsidRDefault="00B90C56" w:rsidP="00B90C56">
      <w:pPr>
        <w:jc w:val="both"/>
        <w:rPr>
          <w:rFonts w:ascii="Times New Roman" w:hAnsi="Times New Roman" w:cs="Times New Roman"/>
        </w:rPr>
      </w:pPr>
      <w:r w:rsidRPr="00B90C56">
        <w:rPr>
          <w:rFonts w:ascii="Times New Roman" w:hAnsi="Times New Roman" w:cs="Times New Roman"/>
        </w:rPr>
        <w:t>Il Presidente APIL</w:t>
      </w:r>
    </w:p>
    <w:p w14:paraId="6C904707" w14:textId="67DF5AAC" w:rsidR="00B90C56" w:rsidRPr="00B90C56" w:rsidRDefault="00B90C56" w:rsidP="00B90C56">
      <w:pPr>
        <w:jc w:val="both"/>
        <w:rPr>
          <w:rFonts w:ascii="Times New Roman" w:hAnsi="Times New Roman" w:cs="Times New Roman"/>
        </w:rPr>
      </w:pPr>
    </w:p>
    <w:p w14:paraId="1EC05897" w14:textId="77777777" w:rsidR="00B90C56" w:rsidRDefault="00B90C56" w:rsidP="00B90C56">
      <w:pPr>
        <w:jc w:val="both"/>
        <w:rPr>
          <w:rFonts w:ascii="Times New Roman" w:hAnsi="Times New Roman" w:cs="Times New Roman"/>
        </w:rPr>
      </w:pPr>
    </w:p>
    <w:p w14:paraId="04A05C54" w14:textId="77777777" w:rsidR="00B90C56" w:rsidRDefault="00B90C56" w:rsidP="00B90C56">
      <w:pPr>
        <w:jc w:val="both"/>
        <w:rPr>
          <w:rFonts w:ascii="Times New Roman" w:hAnsi="Times New Roman" w:cs="Times New Roman"/>
        </w:rPr>
      </w:pPr>
    </w:p>
    <w:p w14:paraId="3E5CFBF7" w14:textId="54135493" w:rsidR="00B90C56" w:rsidRDefault="00B90C56" w:rsidP="00B90C56">
      <w:pPr>
        <w:jc w:val="both"/>
        <w:rPr>
          <w:rFonts w:ascii="Times New Roman" w:hAnsi="Times New Roman" w:cs="Times New Roman"/>
        </w:rPr>
      </w:pPr>
      <w:r w:rsidRPr="00B90C56">
        <w:rPr>
          <w:rFonts w:ascii="Times New Roman" w:hAnsi="Times New Roman" w:cs="Times New Roman"/>
        </w:rPr>
        <w:t>Il Coordinatore della CTS</w:t>
      </w:r>
    </w:p>
    <w:p w14:paraId="41A24442" w14:textId="289B224F" w:rsidR="00655AA1" w:rsidRPr="00B90C56" w:rsidRDefault="00655AA1" w:rsidP="00B90C56">
      <w:pPr>
        <w:jc w:val="both"/>
        <w:rPr>
          <w:rFonts w:ascii="Times New Roman" w:hAnsi="Times New Roman" w:cs="Times New Roman"/>
        </w:rPr>
      </w:pPr>
      <w:r>
        <w:rPr>
          <w:rFonts w:ascii="Times New Roman" w:hAnsi="Times New Roman" w:cs="Times New Roman"/>
        </w:rPr>
        <w:t>Susanna Antico</w:t>
      </w:r>
    </w:p>
    <w:p w14:paraId="550E4F8C" w14:textId="7A7E6E8B" w:rsidR="00745B5A" w:rsidRPr="00745B5A" w:rsidRDefault="00903C7E" w:rsidP="00745B5A">
      <w:pPr>
        <w:rPr>
          <w:rFonts w:ascii="Times New Roman" w:hAnsi="Times New Roman" w:cs="Times New Roman"/>
        </w:rPr>
      </w:pPr>
      <w:r>
        <w:rPr>
          <w:rFonts w:ascii="Times New Roman" w:hAnsi="Times New Roman" w:cs="Times New Roman"/>
          <w:b/>
          <w:bCs/>
          <w:noProof/>
        </w:rPr>
        <w:drawing>
          <wp:inline distT="0" distB="0" distL="0" distR="0" wp14:anchorId="5F63C2C1" wp14:editId="29065F11">
            <wp:extent cx="1158240" cy="837907"/>
            <wp:effectExtent l="0" t="0" r="3810" b="635"/>
            <wp:docPr id="1881945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45902" name="Picture 1881945902"/>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64670" cy="842559"/>
                    </a:xfrm>
                    <a:prstGeom prst="rect">
                      <a:avLst/>
                    </a:prstGeom>
                  </pic:spPr>
                </pic:pic>
              </a:graphicData>
            </a:graphic>
          </wp:inline>
        </w:drawing>
      </w:r>
    </w:p>
    <w:sectPr w:rsidR="00745B5A" w:rsidRPr="00745B5A" w:rsidSect="00462D3D">
      <w:headerReference w:type="default" r:id="rId10"/>
      <w:footerReference w:type="default" r:id="rId11"/>
      <w:pgSz w:w="11906" w:h="16838"/>
      <w:pgMar w:top="2835" w:right="1134" w:bottom="1134" w:left="1134" w:header="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F064E" w14:textId="77777777" w:rsidR="00571FC7" w:rsidRDefault="00571FC7" w:rsidP="00007614">
      <w:r>
        <w:separator/>
      </w:r>
    </w:p>
  </w:endnote>
  <w:endnote w:type="continuationSeparator" w:id="0">
    <w:p w14:paraId="2DF01C53" w14:textId="77777777" w:rsidR="00571FC7" w:rsidRDefault="00571FC7" w:rsidP="0000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Minion Pro">
    <w:panose1 w:val="02040503050306020203"/>
    <w:charset w:val="00"/>
    <w:family w:val="roman"/>
    <w:pitch w:val="variable"/>
    <w:sig w:usb0="60000287" w:usb1="00000001" w:usb2="00000000" w:usb3="00000000" w:csb0="0000019F" w:csb1="00000000"/>
  </w:font>
  <w:font w:name="Instrument Sans Medium">
    <w:altName w:val="Calibri"/>
    <w:panose1 w:val="020B0604020202020204"/>
    <w:charset w:val="00"/>
    <w:family w:val="auto"/>
    <w:pitch w:val="variable"/>
    <w:sig w:usb0="A000006F" w:usb1="0000006A" w:usb2="00000000" w:usb3="00000000" w:csb0="00000093" w:csb1="00000000"/>
  </w:font>
  <w:font w:name="Instrument Sans">
    <w:altName w:val="Calibri"/>
    <w:panose1 w:val="020B0604020202020204"/>
    <w:charset w:val="00"/>
    <w:family w:val="auto"/>
    <w:pitch w:val="variable"/>
    <w:sig w:usb0="A000006F" w:usb1="0000006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9AC3" w14:textId="6E047E29" w:rsidR="00007614" w:rsidRDefault="00E24C09" w:rsidP="00DE40EB">
    <w:pPr>
      <w:pStyle w:val="Pidipagina"/>
      <w:ind w:left="-1134"/>
    </w:pPr>
    <w:r>
      <w:rPr>
        <w:noProof/>
      </w:rPr>
      <w:drawing>
        <wp:anchor distT="0" distB="0" distL="114300" distR="114300" simplePos="0" relativeHeight="251660288" behindDoc="1" locked="0" layoutInCell="1" allowOverlap="1" wp14:anchorId="3D68DE49" wp14:editId="6DB88530">
          <wp:simplePos x="0" y="0"/>
          <wp:positionH relativeFrom="column">
            <wp:posOffset>-720090</wp:posOffset>
          </wp:positionH>
          <wp:positionV relativeFrom="paragraph">
            <wp:posOffset>-2042795</wp:posOffset>
          </wp:positionV>
          <wp:extent cx="7568418" cy="2226236"/>
          <wp:effectExtent l="0" t="0" r="0" b="6985"/>
          <wp:wrapNone/>
          <wp:docPr id="34693314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63D39" w14:textId="77777777" w:rsidR="00571FC7" w:rsidRDefault="00571FC7" w:rsidP="00007614">
      <w:r>
        <w:separator/>
      </w:r>
    </w:p>
  </w:footnote>
  <w:footnote w:type="continuationSeparator" w:id="0">
    <w:p w14:paraId="6BCFC122" w14:textId="77777777" w:rsidR="00571FC7" w:rsidRDefault="00571FC7" w:rsidP="00007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06C3" w14:textId="4D5EBF53" w:rsidR="00007614" w:rsidRDefault="00DE40EB" w:rsidP="00007614">
    <w:pPr>
      <w:pStyle w:val="Intestazione"/>
      <w:tabs>
        <w:tab w:val="clear" w:pos="9638"/>
      </w:tabs>
      <w:ind w:left="-1134" w:right="-852"/>
    </w:pPr>
    <w:r>
      <w:rPr>
        <w:noProof/>
      </w:rPr>
      <w:drawing>
        <wp:anchor distT="0" distB="0" distL="114300" distR="114300" simplePos="0" relativeHeight="251659264" behindDoc="1" locked="0" layoutInCell="1" allowOverlap="1" wp14:anchorId="46DEA1C1" wp14:editId="2E8A77E9">
          <wp:simplePos x="0" y="0"/>
          <wp:positionH relativeFrom="column">
            <wp:posOffset>-67562</wp:posOffset>
          </wp:positionH>
          <wp:positionV relativeFrom="paragraph">
            <wp:posOffset>0</wp:posOffset>
          </wp:positionV>
          <wp:extent cx="6173786" cy="1483338"/>
          <wp:effectExtent l="0" t="0" r="0" b="317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IL_alto.jpg"/>
                  <pic:cNvPicPr/>
                </pic:nvPicPr>
                <pic:blipFill rotWithShape="1">
                  <a:blip r:embed="rId1">
                    <a:extLst>
                      <a:ext uri="{28A0092B-C50C-407E-A947-70E740481C1C}">
                        <a14:useLocalDpi xmlns:a14="http://schemas.microsoft.com/office/drawing/2010/main" val="0"/>
                      </a:ext>
                    </a:extLst>
                  </a:blip>
                  <a:srcRect l="18331"/>
                  <a:stretch>
                    <a:fillRect/>
                  </a:stretch>
                </pic:blipFill>
                <pic:spPr bwMode="auto">
                  <a:xfrm>
                    <a:off x="0" y="0"/>
                    <a:ext cx="6173786" cy="14833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14"/>
    <w:rsid w:val="00007614"/>
    <w:rsid w:val="00027228"/>
    <w:rsid w:val="00061BA5"/>
    <w:rsid w:val="0010341B"/>
    <w:rsid w:val="00110705"/>
    <w:rsid w:val="001512B7"/>
    <w:rsid w:val="001B6948"/>
    <w:rsid w:val="001B7112"/>
    <w:rsid w:val="002351B2"/>
    <w:rsid w:val="00316F4F"/>
    <w:rsid w:val="0032271D"/>
    <w:rsid w:val="0034550D"/>
    <w:rsid w:val="0035636E"/>
    <w:rsid w:val="00384859"/>
    <w:rsid w:val="003B6BE5"/>
    <w:rsid w:val="00462D3D"/>
    <w:rsid w:val="004733D7"/>
    <w:rsid w:val="004C5452"/>
    <w:rsid w:val="004E3BB9"/>
    <w:rsid w:val="004E6D8A"/>
    <w:rsid w:val="004F6DE1"/>
    <w:rsid w:val="005107D3"/>
    <w:rsid w:val="0052658A"/>
    <w:rsid w:val="00527971"/>
    <w:rsid w:val="00545591"/>
    <w:rsid w:val="005626C8"/>
    <w:rsid w:val="00571FC7"/>
    <w:rsid w:val="005A0D1E"/>
    <w:rsid w:val="006048E1"/>
    <w:rsid w:val="0062513A"/>
    <w:rsid w:val="006554EA"/>
    <w:rsid w:val="00655AA1"/>
    <w:rsid w:val="00707E86"/>
    <w:rsid w:val="00745B5A"/>
    <w:rsid w:val="00747279"/>
    <w:rsid w:val="00796BFD"/>
    <w:rsid w:val="007D4B8F"/>
    <w:rsid w:val="007E026D"/>
    <w:rsid w:val="0084416B"/>
    <w:rsid w:val="008F4399"/>
    <w:rsid w:val="00903C7E"/>
    <w:rsid w:val="009B78B5"/>
    <w:rsid w:val="009F25AC"/>
    <w:rsid w:val="00A21F10"/>
    <w:rsid w:val="00A33E96"/>
    <w:rsid w:val="00A57E94"/>
    <w:rsid w:val="00AE4BF7"/>
    <w:rsid w:val="00B90C56"/>
    <w:rsid w:val="00BD5C4E"/>
    <w:rsid w:val="00BF4FEB"/>
    <w:rsid w:val="00C1278E"/>
    <w:rsid w:val="00C408DA"/>
    <w:rsid w:val="00CC16CF"/>
    <w:rsid w:val="00CD3C4F"/>
    <w:rsid w:val="00CE3F48"/>
    <w:rsid w:val="00D35903"/>
    <w:rsid w:val="00D7279D"/>
    <w:rsid w:val="00D9161A"/>
    <w:rsid w:val="00DE40EB"/>
    <w:rsid w:val="00E24C09"/>
    <w:rsid w:val="00E41894"/>
    <w:rsid w:val="00E578BF"/>
    <w:rsid w:val="00E61A33"/>
    <w:rsid w:val="00E94EE6"/>
    <w:rsid w:val="00EB2840"/>
    <w:rsid w:val="00FE280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301CC"/>
  <w15:chartTrackingRefBased/>
  <w15:docId w15:val="{589AEB9D-4DF5-F748-B874-FBF1F62C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07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7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761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761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761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761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761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761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761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761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761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761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761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761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76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76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76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76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761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76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761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76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761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7614"/>
    <w:rPr>
      <w:i/>
      <w:iCs/>
      <w:color w:val="404040" w:themeColor="text1" w:themeTint="BF"/>
    </w:rPr>
  </w:style>
  <w:style w:type="paragraph" w:styleId="Paragrafoelenco">
    <w:name w:val="List Paragraph"/>
    <w:basedOn w:val="Normale"/>
    <w:uiPriority w:val="34"/>
    <w:qFormat/>
    <w:rsid w:val="00007614"/>
    <w:pPr>
      <w:ind w:left="720"/>
      <w:contextualSpacing/>
    </w:pPr>
  </w:style>
  <w:style w:type="character" w:styleId="Enfasiintensa">
    <w:name w:val="Intense Emphasis"/>
    <w:basedOn w:val="Carpredefinitoparagrafo"/>
    <w:uiPriority w:val="21"/>
    <w:qFormat/>
    <w:rsid w:val="00007614"/>
    <w:rPr>
      <w:i/>
      <w:iCs/>
      <w:color w:val="0F4761" w:themeColor="accent1" w:themeShade="BF"/>
    </w:rPr>
  </w:style>
  <w:style w:type="paragraph" w:styleId="Citazioneintensa">
    <w:name w:val="Intense Quote"/>
    <w:basedOn w:val="Normale"/>
    <w:next w:val="Normale"/>
    <w:link w:val="CitazioneintensaCarattere"/>
    <w:uiPriority w:val="30"/>
    <w:qFormat/>
    <w:rsid w:val="00007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7614"/>
    <w:rPr>
      <w:i/>
      <w:iCs/>
      <w:color w:val="0F4761" w:themeColor="accent1" w:themeShade="BF"/>
    </w:rPr>
  </w:style>
  <w:style w:type="character" w:styleId="Riferimentointenso">
    <w:name w:val="Intense Reference"/>
    <w:basedOn w:val="Carpredefinitoparagrafo"/>
    <w:uiPriority w:val="32"/>
    <w:qFormat/>
    <w:rsid w:val="00007614"/>
    <w:rPr>
      <w:b/>
      <w:bCs/>
      <w:smallCaps/>
      <w:color w:val="0F4761" w:themeColor="accent1" w:themeShade="BF"/>
      <w:spacing w:val="5"/>
    </w:rPr>
  </w:style>
  <w:style w:type="paragraph" w:styleId="Intestazione">
    <w:name w:val="header"/>
    <w:basedOn w:val="Normale"/>
    <w:link w:val="IntestazioneCarattere"/>
    <w:uiPriority w:val="99"/>
    <w:unhideWhenUsed/>
    <w:rsid w:val="00007614"/>
    <w:pPr>
      <w:tabs>
        <w:tab w:val="center" w:pos="4819"/>
        <w:tab w:val="right" w:pos="9638"/>
      </w:tabs>
    </w:pPr>
  </w:style>
  <w:style w:type="character" w:customStyle="1" w:styleId="IntestazioneCarattere">
    <w:name w:val="Intestazione Carattere"/>
    <w:basedOn w:val="Carpredefinitoparagrafo"/>
    <w:link w:val="Intestazione"/>
    <w:uiPriority w:val="99"/>
    <w:rsid w:val="00007614"/>
  </w:style>
  <w:style w:type="paragraph" w:styleId="Pidipagina">
    <w:name w:val="footer"/>
    <w:basedOn w:val="Normale"/>
    <w:link w:val="PidipaginaCarattere"/>
    <w:uiPriority w:val="99"/>
    <w:unhideWhenUsed/>
    <w:rsid w:val="00007614"/>
    <w:pPr>
      <w:tabs>
        <w:tab w:val="center" w:pos="4819"/>
        <w:tab w:val="right" w:pos="9638"/>
      </w:tabs>
    </w:pPr>
  </w:style>
  <w:style w:type="character" w:customStyle="1" w:styleId="PidipaginaCarattere">
    <w:name w:val="Piè di pagina Carattere"/>
    <w:basedOn w:val="Carpredefinitoparagrafo"/>
    <w:link w:val="Pidipagina"/>
    <w:uiPriority w:val="99"/>
    <w:rsid w:val="00007614"/>
  </w:style>
  <w:style w:type="paragraph" w:customStyle="1" w:styleId="Paragrafobase">
    <w:name w:val="[Paragrafo base]"/>
    <w:basedOn w:val="Normale"/>
    <w:uiPriority w:val="99"/>
    <w:rsid w:val="00007614"/>
    <w:pPr>
      <w:autoSpaceDE w:val="0"/>
      <w:autoSpaceDN w:val="0"/>
      <w:adjustRightInd w:val="0"/>
      <w:spacing w:line="288" w:lineRule="auto"/>
      <w:textAlignment w:val="center"/>
    </w:pPr>
    <w:rPr>
      <w:rFonts w:ascii="Minion Pro" w:hAnsi="Minion Pro" w:cs="Minion Pro"/>
      <w:color w:val="000000"/>
      <w:kern w:val="0"/>
    </w:rPr>
  </w:style>
  <w:style w:type="character" w:customStyle="1" w:styleId="TitolookFLA">
    <w:name w:val="Titolo ok FLA"/>
    <w:basedOn w:val="Carpredefinitoparagrafo"/>
    <w:uiPriority w:val="1"/>
    <w:qFormat/>
    <w:rsid w:val="007E026D"/>
    <w:rPr>
      <w:rFonts w:ascii="Instrument Sans Medium" w:hAnsi="Instrument Sans Medium"/>
      <w:color w:val="151A32"/>
      <w:sz w:val="28"/>
      <w:szCs w:val="28"/>
    </w:rPr>
  </w:style>
  <w:style w:type="character" w:customStyle="1" w:styleId="testookFLA">
    <w:name w:val="testo ok FLA"/>
    <w:basedOn w:val="Carpredefinitoparagrafo"/>
    <w:uiPriority w:val="1"/>
    <w:qFormat/>
    <w:rsid w:val="007E026D"/>
    <w:rPr>
      <w:rFonts w:ascii="Instrument Sans" w:hAnsi="Instrument Sans" w:cs="Instrument Sans"/>
      <w:color w:val="161C49"/>
      <w:sz w:val="22"/>
      <w:szCs w:val="22"/>
    </w:rPr>
  </w:style>
  <w:style w:type="character" w:styleId="Collegamentoipertestuale">
    <w:name w:val="Hyperlink"/>
    <w:basedOn w:val="Carpredefinitoparagrafo"/>
    <w:uiPriority w:val="99"/>
    <w:unhideWhenUsed/>
    <w:rsid w:val="00462D3D"/>
    <w:rPr>
      <w:color w:val="467886" w:themeColor="hyperlink"/>
      <w:u w:val="single"/>
    </w:rPr>
  </w:style>
  <w:style w:type="character" w:styleId="Menzionenonrisolta">
    <w:name w:val="Unresolved Mention"/>
    <w:basedOn w:val="Carpredefinitoparagrafo"/>
    <w:uiPriority w:val="99"/>
    <w:semiHidden/>
    <w:unhideWhenUsed/>
    <w:rsid w:val="00462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620154">
      <w:bodyDiv w:val="1"/>
      <w:marLeft w:val="0"/>
      <w:marRight w:val="0"/>
      <w:marTop w:val="0"/>
      <w:marBottom w:val="0"/>
      <w:divBdr>
        <w:top w:val="none" w:sz="0" w:space="0" w:color="auto"/>
        <w:left w:val="none" w:sz="0" w:space="0" w:color="auto"/>
        <w:bottom w:val="none" w:sz="0" w:space="0" w:color="auto"/>
        <w:right w:val="none" w:sz="0" w:space="0" w:color="auto"/>
      </w:divBdr>
    </w:div>
    <w:div w:id="177644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027D1-9F08-9548-8EAF-1D307F83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2721</Words>
  <Characters>15511</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Toniutti</dc:creator>
  <cp:keywords/>
  <dc:description/>
  <cp:lastModifiedBy>bianca tresoldi</cp:lastModifiedBy>
  <cp:revision>4</cp:revision>
  <cp:lastPrinted>2025-09-24T10:09:00Z</cp:lastPrinted>
  <dcterms:created xsi:type="dcterms:W3CDTF">2026-07-27T15:46:00Z</dcterms:created>
  <dcterms:modified xsi:type="dcterms:W3CDTF">2026-07-28T08:29:00Z</dcterms:modified>
</cp:coreProperties>
</file>